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4D655" w14:textId="77777777" w:rsidR="001D1829" w:rsidRDefault="000D3CEB">
      <w:pPr>
        <w:pStyle w:val="Standard"/>
        <w:ind w:right="-142"/>
        <w:jc w:val="center"/>
        <w:rPr>
          <w:rFonts w:ascii="標楷體" w:eastAsia="標楷體" w:hAnsi="標楷體"/>
          <w:sz w:val="40"/>
          <w:szCs w:val="40"/>
        </w:rPr>
      </w:pPr>
      <w:r>
        <w:rPr>
          <w:rFonts w:ascii="標楷體" w:eastAsia="標楷體" w:hAnsi="標楷體"/>
          <w:sz w:val="40"/>
          <w:szCs w:val="40"/>
        </w:rPr>
        <w:t>營建工程空氣污染防制設施管理辦法修正條文</w:t>
      </w:r>
    </w:p>
    <w:p w14:paraId="44AF41FC" w14:textId="77777777" w:rsidR="001D1829" w:rsidRDefault="000D3CEB">
      <w:pPr>
        <w:pStyle w:val="Standard"/>
        <w:spacing w:line="480" w:lineRule="exact"/>
        <w:ind w:left="848" w:hanging="848"/>
        <w:jc w:val="both"/>
        <w:rPr>
          <w:rFonts w:ascii="標楷體" w:eastAsia="標楷體" w:hAnsi="標楷體"/>
          <w:sz w:val="28"/>
          <w:szCs w:val="28"/>
        </w:rPr>
      </w:pPr>
      <w:r>
        <w:rPr>
          <w:rFonts w:ascii="標楷體" w:eastAsia="標楷體" w:hAnsi="標楷體"/>
          <w:sz w:val="28"/>
          <w:szCs w:val="28"/>
        </w:rPr>
        <w:t>第一條　　本辦法依空氣污染防制法（以下簡稱本法）第二十三條第二項規定訂定之。</w:t>
      </w:r>
    </w:p>
    <w:p w14:paraId="128348DA" w14:textId="77777777" w:rsidR="001D1829" w:rsidRDefault="000D3CEB">
      <w:pPr>
        <w:pStyle w:val="Standard"/>
        <w:spacing w:line="480" w:lineRule="exact"/>
        <w:ind w:left="848" w:hanging="848"/>
        <w:jc w:val="both"/>
        <w:rPr>
          <w:rFonts w:ascii="標楷體" w:eastAsia="標楷體" w:hAnsi="標楷體"/>
          <w:sz w:val="28"/>
          <w:szCs w:val="28"/>
        </w:rPr>
      </w:pPr>
      <w:r>
        <w:rPr>
          <w:rFonts w:ascii="標楷體" w:eastAsia="標楷體" w:hAnsi="標楷體"/>
          <w:sz w:val="28"/>
          <w:szCs w:val="28"/>
        </w:rPr>
        <w:t>第二條　　本辦法用詞，定義如下：</w:t>
      </w:r>
    </w:p>
    <w:p w14:paraId="518E80AD"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一、營建工程工地</w:t>
      </w:r>
      <w:r>
        <w:rPr>
          <w:rFonts w:ascii="標楷體" w:eastAsia="標楷體" w:hAnsi="標楷體"/>
          <w:sz w:val="28"/>
          <w:szCs w:val="28"/>
        </w:rPr>
        <w:t>(</w:t>
      </w:r>
      <w:r>
        <w:rPr>
          <w:rFonts w:ascii="標楷體" w:eastAsia="標楷體" w:hAnsi="標楷體"/>
          <w:sz w:val="28"/>
          <w:szCs w:val="28"/>
        </w:rPr>
        <w:t>以下簡稱營建工地</w:t>
      </w:r>
      <w:r>
        <w:rPr>
          <w:rFonts w:ascii="標楷體" w:eastAsia="標楷體" w:hAnsi="標楷體"/>
          <w:sz w:val="28"/>
          <w:szCs w:val="28"/>
        </w:rPr>
        <w:t>)</w:t>
      </w:r>
      <w:r>
        <w:rPr>
          <w:rFonts w:ascii="標楷體" w:eastAsia="標楷體" w:hAnsi="標楷體"/>
          <w:sz w:val="28"/>
          <w:szCs w:val="28"/>
        </w:rPr>
        <w:t>：指營建工程基地、施工或堆置物料之區域。</w:t>
      </w:r>
    </w:p>
    <w:p w14:paraId="62EB5080"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二、全阻隔式圍籬：指全部使用非鏤空材料製作之圍籬。</w:t>
      </w:r>
    </w:p>
    <w:p w14:paraId="787C2EAA"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三、半阻隔式圍籬：</w:t>
      </w:r>
      <w:proofErr w:type="gramStart"/>
      <w:r>
        <w:rPr>
          <w:rFonts w:ascii="標楷體" w:eastAsia="標楷體" w:hAnsi="標楷體"/>
          <w:sz w:val="28"/>
          <w:szCs w:val="28"/>
        </w:rPr>
        <w:t>指離地</w:t>
      </w:r>
      <w:proofErr w:type="gramEnd"/>
      <w:r>
        <w:rPr>
          <w:rFonts w:ascii="標楷體" w:eastAsia="標楷體" w:hAnsi="標楷體"/>
          <w:sz w:val="28"/>
          <w:szCs w:val="28"/>
        </w:rPr>
        <w:t>高度八十公分以上使用網狀鏤空材料，其餘使用非鏤空材料製作之圍籬。</w:t>
      </w:r>
    </w:p>
    <w:p w14:paraId="4F172CBD"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四、簡易圍籬：指以金屬、混凝土、塑膠等材料製作，至少離地高度八十公分以內使用非鏤空材料製作之拒馬或紐澤西護欄等實體隔離設施。</w:t>
      </w:r>
    </w:p>
    <w:p w14:paraId="471C279A"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五、</w:t>
      </w:r>
      <w:proofErr w:type="gramStart"/>
      <w:r>
        <w:rPr>
          <w:rFonts w:ascii="標楷體" w:eastAsia="標楷體" w:hAnsi="標楷體"/>
          <w:sz w:val="28"/>
          <w:szCs w:val="28"/>
        </w:rPr>
        <w:t>防溢座</w:t>
      </w:r>
      <w:proofErr w:type="gramEnd"/>
      <w:r>
        <w:rPr>
          <w:rFonts w:ascii="標楷體" w:eastAsia="標楷體" w:hAnsi="標楷體"/>
          <w:sz w:val="28"/>
          <w:szCs w:val="28"/>
        </w:rPr>
        <w:t>：指設置於營建工地圍籬下方或洗車設備</w:t>
      </w:r>
      <w:proofErr w:type="gramStart"/>
      <w:r>
        <w:rPr>
          <w:rFonts w:ascii="標楷體" w:eastAsia="標楷體" w:hAnsi="標楷體"/>
          <w:sz w:val="28"/>
          <w:szCs w:val="28"/>
        </w:rPr>
        <w:t>四周，</w:t>
      </w:r>
      <w:proofErr w:type="gramEnd"/>
      <w:r>
        <w:rPr>
          <w:rFonts w:ascii="標楷體" w:eastAsia="標楷體" w:hAnsi="標楷體"/>
          <w:sz w:val="28"/>
          <w:szCs w:val="28"/>
        </w:rPr>
        <w:t>防止廢水溢流之設施。</w:t>
      </w:r>
    </w:p>
    <w:p w14:paraId="1E2809BA"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六、防塵布：指以布料、帆布或塑膠布等材料製作，防止粉塵逸散之設施。</w:t>
      </w:r>
    </w:p>
    <w:p w14:paraId="0109E2B1"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七、防塵網：指以網狀材料製作，防止粉塵逸散之設施。</w:t>
      </w:r>
    </w:p>
    <w:p w14:paraId="734A43AA"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八、</w:t>
      </w:r>
      <w:proofErr w:type="gramStart"/>
      <w:r>
        <w:rPr>
          <w:rFonts w:ascii="標楷體" w:eastAsia="標楷體" w:hAnsi="標楷體"/>
          <w:sz w:val="28"/>
          <w:szCs w:val="28"/>
        </w:rPr>
        <w:t>粗級配</w:t>
      </w:r>
      <w:proofErr w:type="gramEnd"/>
      <w:r>
        <w:rPr>
          <w:rFonts w:ascii="標楷體" w:eastAsia="標楷體" w:hAnsi="標楷體"/>
          <w:sz w:val="28"/>
          <w:szCs w:val="28"/>
        </w:rPr>
        <w:t>：指舖設地面，防止粉塵逸散之骨材。</w:t>
      </w:r>
    </w:p>
    <w:p w14:paraId="0312C6C6"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九、</w:t>
      </w:r>
      <w:proofErr w:type="gramStart"/>
      <w:r>
        <w:rPr>
          <w:rFonts w:ascii="標楷體" w:eastAsia="標楷體" w:hAnsi="標楷體"/>
          <w:sz w:val="28"/>
          <w:szCs w:val="28"/>
        </w:rPr>
        <w:t>粒料</w:t>
      </w:r>
      <w:proofErr w:type="gramEnd"/>
      <w:r>
        <w:rPr>
          <w:rFonts w:ascii="標楷體" w:eastAsia="標楷體" w:hAnsi="標楷體"/>
          <w:sz w:val="28"/>
          <w:szCs w:val="28"/>
        </w:rPr>
        <w:t>：指礫石、碎石或其他防止粉塵逸散之粒狀物質。</w:t>
      </w:r>
    </w:p>
    <w:p w14:paraId="02605C3F" w14:textId="77777777" w:rsidR="001D1829" w:rsidRDefault="000D3CEB">
      <w:pPr>
        <w:pStyle w:val="a4"/>
        <w:spacing w:line="480" w:lineRule="exact"/>
        <w:ind w:left="1974" w:hanging="568"/>
        <w:jc w:val="both"/>
        <w:rPr>
          <w:rFonts w:ascii="標楷體" w:eastAsia="標楷體" w:hAnsi="標楷體"/>
          <w:sz w:val="28"/>
          <w:szCs w:val="28"/>
        </w:rPr>
      </w:pPr>
      <w:r>
        <w:rPr>
          <w:rFonts w:ascii="標楷體" w:eastAsia="標楷體" w:hAnsi="標楷體"/>
          <w:sz w:val="28"/>
          <w:szCs w:val="28"/>
        </w:rPr>
        <w:t>十、路面色差：指道路表面因沙土等粒狀污染物附著，造成與乾淨路面有顏色差異之情形。</w:t>
      </w:r>
    </w:p>
    <w:p w14:paraId="45BF86D9" w14:textId="77777777" w:rsidR="001D1829" w:rsidRDefault="000D3CEB">
      <w:pPr>
        <w:pStyle w:val="Textbody"/>
        <w:spacing w:line="480" w:lineRule="exact"/>
        <w:ind w:left="848" w:hanging="848"/>
        <w:jc w:val="both"/>
      </w:pPr>
      <w:r>
        <w:rPr>
          <w:rFonts w:ascii="標楷體" w:eastAsia="標楷體" w:hAnsi="標楷體"/>
          <w:sz w:val="28"/>
          <w:szCs w:val="28"/>
        </w:rPr>
        <w:t xml:space="preserve">第三條　　</w:t>
      </w:r>
      <w:r>
        <w:rPr>
          <w:rFonts w:ascii="標楷體" w:eastAsia="標楷體" w:hAnsi="標楷體" w:cs="Tahoma"/>
          <w:kern w:val="3"/>
          <w:sz w:val="28"/>
          <w:szCs w:val="28"/>
        </w:rPr>
        <w:t>本辦法適用對象，指應依本法第十六條第一項第一款規定繳納空氣污染防制費業主之營建工程。但下列營建工程，不在此限：</w:t>
      </w:r>
    </w:p>
    <w:p w14:paraId="5FA518E1" w14:textId="77777777" w:rsidR="001D1829" w:rsidRDefault="000D3CEB">
      <w:pPr>
        <w:pStyle w:val="a4"/>
        <w:spacing w:line="480" w:lineRule="exact"/>
        <w:ind w:left="2002" w:hanging="568"/>
        <w:jc w:val="both"/>
        <w:rPr>
          <w:rFonts w:ascii="標楷體" w:eastAsia="標楷體" w:hAnsi="標楷體"/>
          <w:sz w:val="28"/>
          <w:szCs w:val="28"/>
        </w:rPr>
      </w:pPr>
      <w:r>
        <w:rPr>
          <w:rFonts w:ascii="標楷體" w:eastAsia="標楷體" w:hAnsi="標楷體"/>
          <w:sz w:val="28"/>
          <w:szCs w:val="28"/>
        </w:rPr>
        <w:t>一、應申報繳納空氣污染防制費，</w:t>
      </w:r>
      <w:proofErr w:type="gramStart"/>
      <w:r>
        <w:rPr>
          <w:rFonts w:ascii="標楷體" w:eastAsia="標楷體" w:hAnsi="標楷體"/>
          <w:sz w:val="28"/>
          <w:szCs w:val="28"/>
        </w:rPr>
        <w:t>其費額</w:t>
      </w:r>
      <w:proofErr w:type="gramEnd"/>
      <w:r>
        <w:rPr>
          <w:rFonts w:ascii="標楷體" w:eastAsia="標楷體" w:hAnsi="標楷體"/>
          <w:sz w:val="28"/>
          <w:szCs w:val="28"/>
        </w:rPr>
        <w:t>未達新臺幣二千元，且施工面積未達一萬平方公尺、工期未達一年者。</w:t>
      </w:r>
    </w:p>
    <w:p w14:paraId="5BB85112" w14:textId="77777777" w:rsidR="001D1829" w:rsidRDefault="000D3CEB">
      <w:pPr>
        <w:pStyle w:val="a4"/>
        <w:spacing w:line="480" w:lineRule="exact"/>
        <w:ind w:left="2002" w:hanging="568"/>
        <w:jc w:val="both"/>
        <w:rPr>
          <w:rFonts w:ascii="標楷體" w:eastAsia="標楷體" w:hAnsi="標楷體"/>
          <w:sz w:val="28"/>
          <w:szCs w:val="28"/>
        </w:rPr>
      </w:pPr>
      <w:r>
        <w:rPr>
          <w:rFonts w:ascii="標楷體" w:eastAsia="標楷體" w:hAnsi="標楷體"/>
          <w:sz w:val="28"/>
          <w:szCs w:val="28"/>
        </w:rPr>
        <w:lastRenderedPageBreak/>
        <w:t>二、依空氣污染防制費收費辦法規定得免繳納空氣污染防制費者。</w:t>
      </w:r>
    </w:p>
    <w:p w14:paraId="490AF781" w14:textId="77777777" w:rsidR="001D1829" w:rsidRDefault="000D3CEB">
      <w:pPr>
        <w:pStyle w:val="a4"/>
        <w:spacing w:line="480" w:lineRule="exact"/>
        <w:ind w:left="2002" w:hanging="568"/>
        <w:jc w:val="both"/>
        <w:rPr>
          <w:rFonts w:ascii="標楷體" w:eastAsia="標楷體" w:hAnsi="標楷體"/>
          <w:sz w:val="28"/>
          <w:szCs w:val="28"/>
        </w:rPr>
      </w:pPr>
      <w:r>
        <w:rPr>
          <w:rFonts w:ascii="標楷體" w:eastAsia="標楷體" w:hAnsi="標楷體"/>
          <w:sz w:val="28"/>
          <w:szCs w:val="28"/>
        </w:rPr>
        <w:t>三、其他經中央主管機關指定公告者。</w:t>
      </w:r>
    </w:p>
    <w:p w14:paraId="44C5F325" w14:textId="77777777" w:rsidR="001D1829" w:rsidRDefault="000D3CEB">
      <w:pPr>
        <w:pStyle w:val="Textbody"/>
        <w:spacing w:line="480" w:lineRule="exact"/>
        <w:ind w:left="826" w:firstLine="592"/>
        <w:jc w:val="both"/>
        <w:rPr>
          <w:rFonts w:ascii="標楷體" w:eastAsia="標楷體" w:hAnsi="標楷體" w:cs="Tahoma"/>
          <w:kern w:val="3"/>
          <w:sz w:val="28"/>
          <w:szCs w:val="28"/>
        </w:rPr>
      </w:pPr>
      <w:r>
        <w:rPr>
          <w:rFonts w:ascii="標楷體" w:eastAsia="標楷體" w:hAnsi="標楷體" w:cs="Tahoma"/>
          <w:kern w:val="3"/>
          <w:sz w:val="28"/>
          <w:szCs w:val="28"/>
        </w:rPr>
        <w:t>前項</w:t>
      </w:r>
      <w:proofErr w:type="gramStart"/>
      <w:r>
        <w:rPr>
          <w:rFonts w:ascii="標楷體" w:eastAsia="標楷體" w:hAnsi="標楷體" w:cs="Tahoma"/>
          <w:kern w:val="3"/>
          <w:sz w:val="28"/>
          <w:szCs w:val="28"/>
        </w:rPr>
        <w:t>第一款費額</w:t>
      </w:r>
      <w:proofErr w:type="gramEnd"/>
      <w:r>
        <w:rPr>
          <w:rFonts w:ascii="標楷體" w:eastAsia="標楷體" w:hAnsi="標楷體" w:cs="Tahoma"/>
          <w:kern w:val="3"/>
          <w:sz w:val="28"/>
          <w:szCs w:val="28"/>
        </w:rPr>
        <w:t>之試算，以營建工程空氣污染防制費收費費率第三級費率為基準。</w:t>
      </w:r>
    </w:p>
    <w:p w14:paraId="790D9FC4" w14:textId="77777777" w:rsidR="001D1829" w:rsidRDefault="000D3CEB">
      <w:pPr>
        <w:pStyle w:val="a3"/>
        <w:spacing w:line="480" w:lineRule="exact"/>
        <w:ind w:left="867" w:right="57" w:hanging="867"/>
      </w:pPr>
      <w:r>
        <w:rPr>
          <w:rFonts w:ascii="標楷體" w:hAnsi="標楷體" w:cs="Tahoma"/>
          <w:sz w:val="28"/>
          <w:szCs w:val="28"/>
        </w:rPr>
        <w:t>第四條</w:t>
      </w:r>
      <w:r>
        <w:rPr>
          <w:rFonts w:ascii="標楷體" w:hAnsi="標楷體" w:cs="Tahoma"/>
          <w:spacing w:val="0"/>
          <w:sz w:val="28"/>
          <w:szCs w:val="28"/>
        </w:rPr>
        <w:t xml:space="preserve">　　本辦法所稱營建工程，依施工規模分為第一級營建工程及第二級營建工程。</w:t>
      </w:r>
    </w:p>
    <w:p w14:paraId="1AB70D6E" w14:textId="77777777" w:rsidR="001D1829" w:rsidRDefault="000D3CEB">
      <w:pPr>
        <w:pStyle w:val="Textbody"/>
        <w:spacing w:line="480" w:lineRule="exact"/>
        <w:ind w:left="866" w:firstLine="560"/>
        <w:jc w:val="both"/>
        <w:rPr>
          <w:rFonts w:ascii="標楷體" w:eastAsia="標楷體" w:hAnsi="標楷體" w:cs="Tahoma"/>
          <w:kern w:val="3"/>
          <w:sz w:val="28"/>
          <w:szCs w:val="28"/>
        </w:rPr>
      </w:pPr>
      <w:r>
        <w:rPr>
          <w:rFonts w:ascii="標楷體" w:eastAsia="標楷體" w:hAnsi="標楷體" w:cs="Tahoma"/>
          <w:kern w:val="3"/>
          <w:sz w:val="28"/>
          <w:szCs w:val="28"/>
        </w:rPr>
        <w:t>第一級營建工程之工程類別及施工規模如附表</w:t>
      </w:r>
      <w:proofErr w:type="gramStart"/>
      <w:r>
        <w:rPr>
          <w:rFonts w:ascii="標楷體" w:eastAsia="標楷體" w:hAnsi="標楷體" w:cs="Tahoma"/>
          <w:kern w:val="3"/>
          <w:sz w:val="28"/>
          <w:szCs w:val="28"/>
        </w:rPr>
        <w:t>一</w:t>
      </w:r>
      <w:proofErr w:type="gramEnd"/>
      <w:r>
        <w:rPr>
          <w:rFonts w:ascii="標楷體" w:eastAsia="標楷體" w:hAnsi="標楷體" w:cs="Tahoma"/>
          <w:kern w:val="3"/>
          <w:sz w:val="28"/>
          <w:szCs w:val="28"/>
        </w:rPr>
        <w:t>。第一級以外之營建工程，屬第二級營建工程。</w:t>
      </w:r>
    </w:p>
    <w:p w14:paraId="7B8AE5BC" w14:textId="77777777" w:rsidR="001D1829" w:rsidRDefault="000D3CEB">
      <w:pPr>
        <w:pStyle w:val="a3"/>
        <w:spacing w:line="480" w:lineRule="exact"/>
        <w:ind w:left="306" w:right="57" w:hanging="306"/>
      </w:pPr>
      <w:r>
        <w:rPr>
          <w:rFonts w:ascii="標楷體" w:hAnsi="標楷體" w:cs="Tahoma"/>
          <w:sz w:val="28"/>
          <w:szCs w:val="28"/>
        </w:rPr>
        <w:t xml:space="preserve">第五條　　</w:t>
      </w:r>
      <w:r>
        <w:rPr>
          <w:rFonts w:ascii="標楷體" w:hAnsi="標楷體" w:cs="Tahoma"/>
          <w:spacing w:val="0"/>
          <w:sz w:val="28"/>
          <w:szCs w:val="28"/>
        </w:rPr>
        <w:t>營建業主於營建工程進行</w:t>
      </w:r>
      <w:proofErr w:type="gramStart"/>
      <w:r>
        <w:rPr>
          <w:rFonts w:ascii="標楷體" w:hAnsi="標楷體" w:cs="Tahoma"/>
          <w:spacing w:val="0"/>
          <w:sz w:val="28"/>
          <w:szCs w:val="28"/>
        </w:rPr>
        <w:t>期間，</w:t>
      </w:r>
      <w:proofErr w:type="gramEnd"/>
      <w:r>
        <w:rPr>
          <w:rFonts w:ascii="標楷體" w:hAnsi="標楷體" w:cs="Tahoma"/>
          <w:spacing w:val="0"/>
          <w:sz w:val="28"/>
          <w:szCs w:val="28"/>
        </w:rPr>
        <w:t>應設置工地標示牌。</w:t>
      </w:r>
    </w:p>
    <w:p w14:paraId="1A9C6705" w14:textId="77777777" w:rsidR="001D1829" w:rsidRDefault="000D3CEB">
      <w:pPr>
        <w:pStyle w:val="Textbody"/>
        <w:spacing w:line="480" w:lineRule="exact"/>
        <w:ind w:left="866" w:firstLine="560"/>
        <w:jc w:val="both"/>
        <w:rPr>
          <w:rFonts w:ascii="標楷體" w:eastAsia="標楷體" w:hAnsi="標楷體" w:cs="Tahoma"/>
          <w:kern w:val="3"/>
          <w:sz w:val="28"/>
          <w:szCs w:val="28"/>
        </w:rPr>
      </w:pPr>
      <w:r>
        <w:rPr>
          <w:rFonts w:ascii="標楷體" w:eastAsia="標楷體" w:hAnsi="標楷體" w:cs="Tahoma"/>
          <w:kern w:val="3"/>
          <w:sz w:val="28"/>
          <w:szCs w:val="28"/>
        </w:rPr>
        <w:t>前項標示牌內容，應載明營建工程空氣污染防制費徵收管制編號、工地負責人姓名、電話及當地環保機關公害檢舉電話號碼。</w:t>
      </w:r>
    </w:p>
    <w:p w14:paraId="7D28D8E5" w14:textId="77777777" w:rsidR="001D1829" w:rsidRDefault="000D3CEB">
      <w:pPr>
        <w:pStyle w:val="a3"/>
        <w:spacing w:line="480" w:lineRule="exact"/>
        <w:ind w:left="894" w:right="57" w:hanging="894"/>
      </w:pPr>
      <w:r>
        <w:rPr>
          <w:rFonts w:ascii="標楷體" w:hAnsi="標楷體" w:cs="Tahoma"/>
          <w:sz w:val="28"/>
          <w:szCs w:val="28"/>
        </w:rPr>
        <w:t xml:space="preserve">第六條　　</w:t>
      </w:r>
      <w:r>
        <w:rPr>
          <w:rFonts w:ascii="標楷體" w:hAnsi="標楷體" w:cs="Tahoma"/>
          <w:spacing w:val="0"/>
          <w:sz w:val="28"/>
          <w:szCs w:val="28"/>
        </w:rPr>
        <w:t>營建業主於營建工程進行</w:t>
      </w:r>
      <w:proofErr w:type="gramStart"/>
      <w:r>
        <w:rPr>
          <w:rFonts w:ascii="標楷體" w:hAnsi="標楷體" w:cs="Tahoma"/>
          <w:spacing w:val="0"/>
          <w:sz w:val="28"/>
          <w:szCs w:val="28"/>
        </w:rPr>
        <w:t>期間，</w:t>
      </w:r>
      <w:proofErr w:type="gramEnd"/>
      <w:r>
        <w:rPr>
          <w:rFonts w:ascii="標楷體" w:hAnsi="標楷體" w:cs="Tahoma"/>
          <w:spacing w:val="0"/>
          <w:sz w:val="28"/>
          <w:szCs w:val="28"/>
        </w:rPr>
        <w:t>應於營建工地周界設置</w:t>
      </w:r>
      <w:proofErr w:type="gramStart"/>
      <w:r>
        <w:rPr>
          <w:rFonts w:ascii="標楷體" w:hAnsi="標楷體" w:cs="Tahoma"/>
          <w:spacing w:val="0"/>
          <w:sz w:val="28"/>
          <w:szCs w:val="28"/>
        </w:rPr>
        <w:t>定著</w:t>
      </w:r>
      <w:proofErr w:type="gramEnd"/>
      <w:r>
        <w:rPr>
          <w:rFonts w:ascii="標楷體" w:hAnsi="標楷體" w:cs="Tahoma"/>
          <w:spacing w:val="0"/>
          <w:sz w:val="28"/>
          <w:szCs w:val="28"/>
        </w:rPr>
        <w:t>地面之全阻隔式圍籬及</w:t>
      </w:r>
      <w:proofErr w:type="gramStart"/>
      <w:r>
        <w:rPr>
          <w:rFonts w:ascii="標楷體" w:hAnsi="標楷體" w:cs="Tahoma"/>
          <w:spacing w:val="0"/>
          <w:sz w:val="28"/>
          <w:szCs w:val="28"/>
        </w:rPr>
        <w:t>防溢座</w:t>
      </w:r>
      <w:proofErr w:type="gramEnd"/>
      <w:r>
        <w:rPr>
          <w:rFonts w:ascii="標楷體" w:hAnsi="標楷體" w:cs="Tahoma"/>
          <w:spacing w:val="0"/>
          <w:sz w:val="28"/>
          <w:szCs w:val="28"/>
        </w:rPr>
        <w:t>，圍籬高度規定如附表二。但道路轉角或轉彎處十公尺以內者，得設置半阻隔式圍籬。</w:t>
      </w:r>
    </w:p>
    <w:p w14:paraId="2315BE3B" w14:textId="77777777" w:rsidR="001D1829" w:rsidRDefault="000D3CEB">
      <w:pPr>
        <w:pStyle w:val="a3"/>
        <w:spacing w:line="480" w:lineRule="exact"/>
        <w:ind w:left="895" w:right="57" w:firstLine="560"/>
        <w:rPr>
          <w:rFonts w:ascii="標楷體" w:hAnsi="標楷體" w:cs="Tahoma"/>
          <w:spacing w:val="0"/>
          <w:sz w:val="28"/>
          <w:szCs w:val="28"/>
        </w:rPr>
      </w:pPr>
      <w:r>
        <w:rPr>
          <w:rFonts w:ascii="標楷體" w:hAnsi="標楷體" w:cs="Tahoma"/>
          <w:spacing w:val="0"/>
          <w:sz w:val="28"/>
          <w:szCs w:val="28"/>
        </w:rPr>
        <w:t>道路、隧道、管線或</w:t>
      </w:r>
      <w:r>
        <w:rPr>
          <w:rFonts w:ascii="標楷體" w:hAnsi="標楷體" w:cs="Tahoma"/>
          <w:spacing w:val="0"/>
          <w:sz w:val="28"/>
          <w:szCs w:val="28"/>
        </w:rPr>
        <w:t>橋樑工程臨接道路寬度八公尺以下或施工工期未滿三個月者，得設置連接之簡易圍籬。</w:t>
      </w:r>
    </w:p>
    <w:p w14:paraId="142FACC9" w14:textId="77777777" w:rsidR="001D1829" w:rsidRDefault="000D3CEB">
      <w:pPr>
        <w:pStyle w:val="a3"/>
        <w:spacing w:line="480" w:lineRule="exact"/>
        <w:ind w:left="895" w:right="57" w:firstLine="560"/>
        <w:rPr>
          <w:rFonts w:ascii="標楷體" w:hAnsi="標楷體" w:cs="Tahoma"/>
          <w:spacing w:val="0"/>
          <w:sz w:val="28"/>
          <w:szCs w:val="28"/>
        </w:rPr>
      </w:pPr>
      <w:r>
        <w:rPr>
          <w:rFonts w:ascii="標楷體" w:hAnsi="標楷體" w:cs="Tahoma"/>
          <w:spacing w:val="0"/>
          <w:sz w:val="28"/>
          <w:szCs w:val="28"/>
        </w:rPr>
        <w:t>前二項營建工程之工地周界臨接山坡地、河川或湖泊等天然屏障或其他具有與圍籬相同效果者，報請直轄市、縣（市）主管機關同意後，得免設置圍籬。</w:t>
      </w:r>
    </w:p>
    <w:p w14:paraId="04045C36" w14:textId="77777777" w:rsidR="001D1829" w:rsidRDefault="000D3CEB">
      <w:pPr>
        <w:pStyle w:val="Textbody"/>
        <w:spacing w:line="480" w:lineRule="exact"/>
        <w:ind w:left="896" w:hanging="896"/>
        <w:jc w:val="both"/>
        <w:rPr>
          <w:rFonts w:ascii="標楷體" w:eastAsia="標楷體" w:hAnsi="標楷體" w:cs="Tahoma"/>
          <w:kern w:val="3"/>
          <w:sz w:val="28"/>
          <w:szCs w:val="28"/>
        </w:rPr>
      </w:pPr>
      <w:r>
        <w:rPr>
          <w:rFonts w:ascii="標楷體" w:eastAsia="標楷體" w:hAnsi="標楷體" w:cs="Tahoma"/>
          <w:kern w:val="3"/>
          <w:sz w:val="28"/>
          <w:szCs w:val="28"/>
        </w:rPr>
        <w:t>第七條　　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其所使用具粉塵逸散性之工程材料、砂石、土石方或廢棄物，</w:t>
      </w:r>
      <w:proofErr w:type="gramStart"/>
      <w:r>
        <w:rPr>
          <w:rFonts w:ascii="標楷體" w:eastAsia="標楷體" w:hAnsi="標楷體" w:cs="Tahoma"/>
          <w:kern w:val="3"/>
          <w:sz w:val="28"/>
          <w:szCs w:val="28"/>
        </w:rPr>
        <w:t>且其堆置</w:t>
      </w:r>
      <w:proofErr w:type="gramEnd"/>
      <w:r>
        <w:rPr>
          <w:rFonts w:ascii="標楷體" w:eastAsia="標楷體" w:hAnsi="標楷體" w:cs="Tahoma"/>
          <w:kern w:val="3"/>
          <w:sz w:val="28"/>
          <w:szCs w:val="28"/>
        </w:rPr>
        <w:t>於營建工地者，應</w:t>
      </w:r>
      <w:proofErr w:type="gramStart"/>
      <w:r>
        <w:rPr>
          <w:rFonts w:ascii="標楷體" w:eastAsia="標楷體" w:hAnsi="標楷體" w:cs="Tahoma"/>
          <w:kern w:val="3"/>
          <w:sz w:val="28"/>
          <w:szCs w:val="28"/>
        </w:rPr>
        <w:t>採</w:t>
      </w:r>
      <w:proofErr w:type="gramEnd"/>
      <w:r>
        <w:rPr>
          <w:rFonts w:ascii="標楷體" w:eastAsia="標楷體" w:hAnsi="標楷體" w:cs="Tahoma"/>
          <w:kern w:val="3"/>
          <w:sz w:val="28"/>
          <w:szCs w:val="28"/>
        </w:rPr>
        <w:t>行下列有效抑制粉塵之防制設施之一：</w:t>
      </w:r>
    </w:p>
    <w:p w14:paraId="36523825" w14:textId="77777777" w:rsidR="001D1829" w:rsidRDefault="000D3CEB">
      <w:pPr>
        <w:pStyle w:val="a4"/>
        <w:spacing w:line="480" w:lineRule="exact"/>
        <w:ind w:left="1418" w:firstLine="38"/>
        <w:jc w:val="both"/>
        <w:rPr>
          <w:rFonts w:ascii="標楷體" w:eastAsia="標楷體" w:hAnsi="標楷體"/>
          <w:sz w:val="28"/>
          <w:szCs w:val="28"/>
        </w:rPr>
      </w:pPr>
      <w:r>
        <w:rPr>
          <w:rFonts w:ascii="標楷體" w:eastAsia="標楷體" w:hAnsi="標楷體"/>
          <w:sz w:val="28"/>
          <w:szCs w:val="28"/>
        </w:rPr>
        <w:t>一、覆蓋防塵布。</w:t>
      </w:r>
    </w:p>
    <w:p w14:paraId="0B40A395" w14:textId="77777777" w:rsidR="001D1829" w:rsidRDefault="000D3CEB">
      <w:pPr>
        <w:pStyle w:val="a4"/>
        <w:spacing w:line="480" w:lineRule="exact"/>
        <w:ind w:left="1418" w:firstLine="38"/>
        <w:jc w:val="both"/>
        <w:rPr>
          <w:rFonts w:ascii="標楷體" w:eastAsia="標楷體" w:hAnsi="標楷體"/>
          <w:sz w:val="28"/>
          <w:szCs w:val="28"/>
        </w:rPr>
      </w:pPr>
      <w:r>
        <w:rPr>
          <w:rFonts w:ascii="標楷體" w:eastAsia="標楷體" w:hAnsi="標楷體"/>
          <w:sz w:val="28"/>
          <w:szCs w:val="28"/>
        </w:rPr>
        <w:t>二、覆蓋防塵網。</w:t>
      </w:r>
    </w:p>
    <w:p w14:paraId="49D05130" w14:textId="77777777" w:rsidR="001D1829" w:rsidRDefault="000D3CEB">
      <w:pPr>
        <w:pStyle w:val="a4"/>
        <w:spacing w:line="480" w:lineRule="exact"/>
        <w:ind w:left="1418" w:firstLine="38"/>
        <w:jc w:val="both"/>
        <w:rPr>
          <w:rFonts w:ascii="標楷體" w:eastAsia="標楷體" w:hAnsi="標楷體"/>
          <w:sz w:val="28"/>
          <w:szCs w:val="28"/>
        </w:rPr>
      </w:pPr>
      <w:r>
        <w:rPr>
          <w:rFonts w:ascii="標楷體" w:eastAsia="標楷體" w:hAnsi="標楷體"/>
          <w:sz w:val="28"/>
          <w:szCs w:val="28"/>
        </w:rPr>
        <w:t>三、配合定期噴灑化學穩定劑。</w:t>
      </w:r>
    </w:p>
    <w:p w14:paraId="57C771E8" w14:textId="77777777" w:rsidR="001D1829" w:rsidRDefault="000D3CEB">
      <w:pPr>
        <w:pStyle w:val="Textbody"/>
        <w:spacing w:line="480" w:lineRule="exact"/>
        <w:ind w:left="868" w:hanging="868"/>
        <w:jc w:val="both"/>
      </w:pPr>
      <w:r>
        <w:rPr>
          <w:rFonts w:ascii="標楷體" w:eastAsia="標楷體" w:hAnsi="標楷體"/>
          <w:sz w:val="28"/>
          <w:szCs w:val="28"/>
        </w:rPr>
        <w:t xml:space="preserve">第八條　　</w:t>
      </w:r>
      <w:r>
        <w:rPr>
          <w:rFonts w:ascii="標楷體" w:eastAsia="標楷體" w:hAnsi="標楷體" w:cs="Tahoma"/>
          <w:kern w:val="3"/>
          <w:sz w:val="28"/>
          <w:szCs w:val="28"/>
        </w:rPr>
        <w:t>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應於營建工地內之車行路徑，舖設下列有效抑制粉塵之防制設施之一：</w:t>
      </w:r>
    </w:p>
    <w:p w14:paraId="1969B876" w14:textId="77777777" w:rsidR="001D1829" w:rsidRDefault="000D3CEB">
      <w:pPr>
        <w:pStyle w:val="a4"/>
        <w:spacing w:line="480" w:lineRule="exact"/>
        <w:ind w:left="1418" w:firstLine="50"/>
        <w:jc w:val="both"/>
        <w:rPr>
          <w:rFonts w:ascii="標楷體" w:eastAsia="標楷體" w:hAnsi="標楷體"/>
          <w:sz w:val="28"/>
          <w:szCs w:val="28"/>
        </w:rPr>
      </w:pPr>
      <w:r>
        <w:rPr>
          <w:rFonts w:ascii="標楷體" w:eastAsia="標楷體" w:hAnsi="標楷體"/>
          <w:sz w:val="28"/>
          <w:szCs w:val="28"/>
        </w:rPr>
        <w:lastRenderedPageBreak/>
        <w:t>一、鋼板。</w:t>
      </w:r>
    </w:p>
    <w:p w14:paraId="07D63EEB" w14:textId="77777777" w:rsidR="001D1829" w:rsidRDefault="000D3CEB">
      <w:pPr>
        <w:pStyle w:val="a4"/>
        <w:spacing w:line="480" w:lineRule="exact"/>
        <w:ind w:left="1418" w:firstLine="50"/>
        <w:jc w:val="both"/>
        <w:rPr>
          <w:rFonts w:ascii="標楷體" w:eastAsia="標楷體" w:hAnsi="標楷體"/>
          <w:sz w:val="28"/>
          <w:szCs w:val="28"/>
        </w:rPr>
      </w:pPr>
      <w:r>
        <w:rPr>
          <w:rFonts w:ascii="標楷體" w:eastAsia="標楷體" w:hAnsi="標楷體"/>
          <w:sz w:val="28"/>
          <w:szCs w:val="28"/>
        </w:rPr>
        <w:t>二、混凝土。</w:t>
      </w:r>
    </w:p>
    <w:p w14:paraId="41386BC1" w14:textId="77777777" w:rsidR="001D1829" w:rsidRDefault="000D3CEB">
      <w:pPr>
        <w:pStyle w:val="a4"/>
        <w:spacing w:line="480" w:lineRule="exact"/>
        <w:ind w:left="1418" w:firstLine="50"/>
        <w:jc w:val="both"/>
        <w:rPr>
          <w:rFonts w:ascii="標楷體" w:eastAsia="標楷體" w:hAnsi="標楷體"/>
          <w:sz w:val="28"/>
          <w:szCs w:val="28"/>
        </w:rPr>
      </w:pPr>
      <w:r>
        <w:rPr>
          <w:rFonts w:ascii="標楷體" w:eastAsia="標楷體" w:hAnsi="標楷體"/>
          <w:sz w:val="28"/>
          <w:szCs w:val="28"/>
        </w:rPr>
        <w:t>三、瀝青混凝土。</w:t>
      </w:r>
    </w:p>
    <w:p w14:paraId="2C8A8F4D" w14:textId="77777777" w:rsidR="001D1829" w:rsidRDefault="000D3CEB">
      <w:pPr>
        <w:pStyle w:val="a4"/>
        <w:spacing w:line="480" w:lineRule="exact"/>
        <w:ind w:left="1418" w:firstLine="50"/>
        <w:jc w:val="both"/>
        <w:rPr>
          <w:rFonts w:ascii="標楷體" w:eastAsia="標楷體" w:hAnsi="標楷體"/>
          <w:sz w:val="28"/>
          <w:szCs w:val="28"/>
        </w:rPr>
      </w:pPr>
      <w:r>
        <w:rPr>
          <w:rFonts w:ascii="標楷體" w:eastAsia="標楷體" w:hAnsi="標楷體"/>
          <w:sz w:val="28"/>
          <w:szCs w:val="28"/>
        </w:rPr>
        <w:t>四、</w:t>
      </w:r>
      <w:proofErr w:type="gramStart"/>
      <w:r>
        <w:rPr>
          <w:rFonts w:ascii="標楷體" w:eastAsia="標楷體" w:hAnsi="標楷體"/>
          <w:sz w:val="28"/>
          <w:szCs w:val="28"/>
        </w:rPr>
        <w:t>粗級配或粒料</w:t>
      </w:r>
      <w:proofErr w:type="gramEnd"/>
      <w:r>
        <w:rPr>
          <w:rFonts w:ascii="標楷體" w:eastAsia="標楷體" w:hAnsi="標楷體"/>
          <w:sz w:val="28"/>
          <w:szCs w:val="28"/>
        </w:rPr>
        <w:t>。</w:t>
      </w:r>
    </w:p>
    <w:p w14:paraId="5AA83BB0" w14:textId="77777777" w:rsidR="001D1829" w:rsidRDefault="000D3CEB">
      <w:pPr>
        <w:pStyle w:val="a3"/>
        <w:spacing w:line="480" w:lineRule="exact"/>
        <w:ind w:left="895" w:right="57" w:firstLine="560"/>
        <w:rPr>
          <w:rFonts w:ascii="標楷體" w:hAnsi="標楷體" w:cs="Tahoma"/>
          <w:spacing w:val="0"/>
          <w:sz w:val="28"/>
          <w:szCs w:val="28"/>
        </w:rPr>
      </w:pPr>
      <w:r>
        <w:rPr>
          <w:rFonts w:ascii="標楷體" w:hAnsi="標楷體" w:cs="Tahoma"/>
          <w:spacing w:val="0"/>
          <w:sz w:val="28"/>
          <w:szCs w:val="28"/>
        </w:rPr>
        <w:t>前項防制設施須達車行路徑面積之百分之七十以上；屬第一級營建工程者，須達車行路徑面積之百分之九十以上。</w:t>
      </w:r>
    </w:p>
    <w:p w14:paraId="0306AA0E" w14:textId="77777777" w:rsidR="001D1829" w:rsidRDefault="000D3CEB">
      <w:pPr>
        <w:pStyle w:val="a3"/>
        <w:spacing w:line="480" w:lineRule="exact"/>
        <w:ind w:left="895" w:right="57" w:firstLine="560"/>
        <w:rPr>
          <w:rFonts w:ascii="標楷體" w:hAnsi="標楷體" w:cs="Tahoma"/>
          <w:spacing w:val="0"/>
          <w:sz w:val="28"/>
          <w:szCs w:val="28"/>
        </w:rPr>
      </w:pPr>
      <w:r>
        <w:rPr>
          <w:rFonts w:ascii="標楷體" w:hAnsi="標楷體" w:cs="Tahoma"/>
          <w:spacing w:val="0"/>
          <w:sz w:val="28"/>
          <w:szCs w:val="28"/>
        </w:rPr>
        <w:t>洗車設施至主要道路之車行</w:t>
      </w:r>
      <w:r>
        <w:rPr>
          <w:rFonts w:ascii="標楷體" w:hAnsi="標楷體" w:cs="Tahoma"/>
          <w:spacing w:val="0"/>
          <w:sz w:val="28"/>
          <w:szCs w:val="28"/>
        </w:rPr>
        <w:t>路徑，應符合第一項之規定。</w:t>
      </w:r>
    </w:p>
    <w:p w14:paraId="31B689C4" w14:textId="77777777" w:rsidR="001D1829" w:rsidRDefault="000D3CEB">
      <w:pPr>
        <w:pStyle w:val="a3"/>
        <w:spacing w:line="480" w:lineRule="exact"/>
        <w:ind w:left="854" w:right="58" w:hanging="856"/>
        <w:rPr>
          <w:rFonts w:ascii="標楷體" w:hAnsi="標楷體" w:cs="Tahoma"/>
          <w:spacing w:val="0"/>
          <w:sz w:val="28"/>
          <w:szCs w:val="28"/>
        </w:rPr>
      </w:pPr>
      <w:r>
        <w:rPr>
          <w:rFonts w:ascii="標楷體" w:hAnsi="標楷體" w:cs="Tahoma"/>
          <w:spacing w:val="0"/>
          <w:sz w:val="28"/>
          <w:szCs w:val="28"/>
        </w:rPr>
        <w:t>第九條　　營建業主於營建工程進行</w:t>
      </w:r>
      <w:proofErr w:type="gramStart"/>
      <w:r>
        <w:rPr>
          <w:rFonts w:ascii="標楷體" w:hAnsi="標楷體" w:cs="Tahoma"/>
          <w:spacing w:val="0"/>
          <w:sz w:val="28"/>
          <w:szCs w:val="28"/>
        </w:rPr>
        <w:t>期間，</w:t>
      </w:r>
      <w:proofErr w:type="gramEnd"/>
      <w:r>
        <w:rPr>
          <w:rFonts w:ascii="標楷體" w:hAnsi="標楷體" w:cs="Tahoma"/>
          <w:spacing w:val="0"/>
          <w:sz w:val="28"/>
          <w:szCs w:val="28"/>
        </w:rPr>
        <w:t>應於營建工地內之裸露區域，</w:t>
      </w:r>
      <w:proofErr w:type="gramStart"/>
      <w:r>
        <w:rPr>
          <w:rFonts w:ascii="標楷體" w:hAnsi="標楷體" w:cs="Tahoma"/>
          <w:spacing w:val="0"/>
          <w:sz w:val="28"/>
          <w:szCs w:val="28"/>
        </w:rPr>
        <w:t>採</w:t>
      </w:r>
      <w:proofErr w:type="gramEnd"/>
      <w:r>
        <w:rPr>
          <w:rFonts w:ascii="標楷體" w:hAnsi="標楷體" w:cs="Tahoma"/>
          <w:spacing w:val="0"/>
          <w:sz w:val="28"/>
          <w:szCs w:val="28"/>
        </w:rPr>
        <w:t>行下列有效抑制粉塵之防制設施之一：</w:t>
      </w:r>
    </w:p>
    <w:p w14:paraId="42D00444"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一、覆蓋防塵布、防塵網或稻草</w:t>
      </w:r>
      <w:r>
        <w:rPr>
          <w:rFonts w:ascii="標楷體" w:eastAsia="標楷體" w:hAnsi="標楷體"/>
          <w:sz w:val="28"/>
          <w:szCs w:val="28"/>
        </w:rPr>
        <w:t>(</w:t>
      </w:r>
      <w:proofErr w:type="gramStart"/>
      <w:r>
        <w:rPr>
          <w:rFonts w:ascii="標楷體" w:eastAsia="標楷體" w:hAnsi="標楷體"/>
          <w:sz w:val="28"/>
          <w:szCs w:val="28"/>
        </w:rPr>
        <w:t>蓆</w:t>
      </w:r>
      <w:proofErr w:type="gramEnd"/>
      <w:r>
        <w:rPr>
          <w:rFonts w:ascii="標楷體" w:eastAsia="標楷體" w:hAnsi="標楷體"/>
          <w:sz w:val="28"/>
          <w:szCs w:val="28"/>
        </w:rPr>
        <w:t>)</w:t>
      </w:r>
      <w:r>
        <w:rPr>
          <w:rFonts w:ascii="標楷體" w:eastAsia="標楷體" w:hAnsi="標楷體"/>
          <w:sz w:val="28"/>
          <w:szCs w:val="28"/>
        </w:rPr>
        <w:t>。</w:t>
      </w:r>
    </w:p>
    <w:p w14:paraId="414069F0"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二、舖設鋼板、混凝土或瀝青混凝土。</w:t>
      </w:r>
    </w:p>
    <w:p w14:paraId="5F2CEFBB"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三、舖設</w:t>
      </w:r>
      <w:proofErr w:type="gramStart"/>
      <w:r>
        <w:rPr>
          <w:rFonts w:ascii="標楷體" w:eastAsia="標楷體" w:hAnsi="標楷體"/>
          <w:sz w:val="28"/>
          <w:szCs w:val="28"/>
        </w:rPr>
        <w:t>粗級配或粒料</w:t>
      </w:r>
      <w:proofErr w:type="gramEnd"/>
      <w:r>
        <w:rPr>
          <w:rFonts w:ascii="標楷體" w:eastAsia="標楷體" w:hAnsi="標楷體"/>
          <w:sz w:val="28"/>
          <w:szCs w:val="28"/>
        </w:rPr>
        <w:t>。</w:t>
      </w:r>
    </w:p>
    <w:p w14:paraId="59F5C714"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四、植生綠化。</w:t>
      </w:r>
    </w:p>
    <w:p w14:paraId="44E3248E"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五、地表壓實且配合每日至少灑水二次，每次灑水範圍應涵蓋裸露區域，並記錄用水量備查。</w:t>
      </w:r>
    </w:p>
    <w:p w14:paraId="58FE30B4"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六、配合定期噴灑化學穩定劑。</w:t>
      </w:r>
    </w:p>
    <w:p w14:paraId="2A9F506B" w14:textId="77777777" w:rsidR="001D1829" w:rsidRDefault="000D3CEB">
      <w:pPr>
        <w:pStyle w:val="a4"/>
        <w:spacing w:line="480" w:lineRule="exact"/>
        <w:ind w:left="2058" w:hanging="568"/>
        <w:jc w:val="both"/>
        <w:rPr>
          <w:rFonts w:ascii="標楷體" w:eastAsia="標楷體" w:hAnsi="標楷體"/>
          <w:sz w:val="28"/>
          <w:szCs w:val="28"/>
        </w:rPr>
      </w:pPr>
      <w:r>
        <w:rPr>
          <w:rFonts w:ascii="標楷體" w:eastAsia="標楷體" w:hAnsi="標楷體"/>
          <w:sz w:val="28"/>
          <w:szCs w:val="28"/>
        </w:rPr>
        <w:t>七、設置自動灑水設備，灑水範圍應涵蓋裸露區域。</w:t>
      </w:r>
    </w:p>
    <w:p w14:paraId="3CDCE958" w14:textId="77777777" w:rsidR="001D1829" w:rsidRDefault="000D3CEB">
      <w:pPr>
        <w:pStyle w:val="a3"/>
        <w:spacing w:line="480" w:lineRule="exact"/>
        <w:ind w:left="895" w:right="57" w:firstLine="560"/>
      </w:pPr>
      <w:r>
        <w:rPr>
          <w:rFonts w:ascii="標楷體" w:hAnsi="標楷體" w:cs="Tahoma"/>
          <w:spacing w:val="0"/>
          <w:sz w:val="28"/>
          <w:szCs w:val="28"/>
        </w:rPr>
        <w:t>前項防制設施應達裸露區域面積之百分之七十以上；屬第一級營建工程者，應達裸露區域面積之百分之九十以上。裸露區域扣除</w:t>
      </w:r>
      <w:proofErr w:type="gramStart"/>
      <w:r>
        <w:rPr>
          <w:rFonts w:ascii="標楷體" w:hAnsi="標楷體" w:cs="Tahoma"/>
          <w:spacing w:val="0"/>
          <w:sz w:val="28"/>
          <w:szCs w:val="28"/>
        </w:rPr>
        <w:t>採</w:t>
      </w:r>
      <w:proofErr w:type="gramEnd"/>
      <w:r>
        <w:rPr>
          <w:rFonts w:ascii="標楷體" w:hAnsi="標楷體" w:cs="Tahoma"/>
          <w:spacing w:val="0"/>
          <w:sz w:val="28"/>
          <w:szCs w:val="28"/>
        </w:rPr>
        <w:t>行前項防制設施之剩餘部分，須配合定期灑水，灑水頻率每日至少二次。</w:t>
      </w:r>
    </w:p>
    <w:p w14:paraId="01F0B1F5" w14:textId="77777777" w:rsidR="001D1829" w:rsidRDefault="000D3CEB">
      <w:pPr>
        <w:pStyle w:val="a3"/>
        <w:spacing w:line="480" w:lineRule="exact"/>
        <w:ind w:left="895" w:right="57" w:firstLine="560"/>
      </w:pPr>
      <w:r>
        <w:rPr>
          <w:rFonts w:ascii="標楷體" w:hAnsi="標楷體" w:cs="Tahoma"/>
          <w:spacing w:val="0"/>
          <w:sz w:val="28"/>
          <w:szCs w:val="28"/>
        </w:rPr>
        <w:t>前項剩餘部分須配合定期灑水之規定，於經濟部核定第三及第四階段停止及限制供水措施區域內之營建工程，不適用之。</w:t>
      </w:r>
    </w:p>
    <w:p w14:paraId="09E7C771" w14:textId="77777777" w:rsidR="001D1829" w:rsidRDefault="000D3CEB">
      <w:pPr>
        <w:pStyle w:val="a3"/>
        <w:spacing w:line="480" w:lineRule="exact"/>
        <w:ind w:left="881" w:right="57" w:hanging="888"/>
        <w:rPr>
          <w:rFonts w:ascii="標楷體" w:hAnsi="標楷體" w:cs="Tahoma"/>
          <w:spacing w:val="0"/>
          <w:sz w:val="28"/>
          <w:szCs w:val="28"/>
        </w:rPr>
      </w:pPr>
      <w:r>
        <w:rPr>
          <w:rFonts w:ascii="標楷體" w:hAnsi="標楷體" w:cs="Tahoma"/>
          <w:spacing w:val="0"/>
          <w:sz w:val="28"/>
          <w:szCs w:val="28"/>
        </w:rPr>
        <w:t>第十條　　營建業主於營建工程進行</w:t>
      </w:r>
      <w:proofErr w:type="gramStart"/>
      <w:r>
        <w:rPr>
          <w:rFonts w:ascii="標楷體" w:hAnsi="標楷體" w:cs="Tahoma"/>
          <w:spacing w:val="0"/>
          <w:sz w:val="28"/>
          <w:szCs w:val="28"/>
        </w:rPr>
        <w:t>期間，</w:t>
      </w:r>
      <w:proofErr w:type="gramEnd"/>
      <w:r>
        <w:rPr>
          <w:rFonts w:ascii="標楷體" w:hAnsi="標楷體" w:cs="Tahoma"/>
          <w:spacing w:val="0"/>
          <w:sz w:val="28"/>
          <w:szCs w:val="28"/>
        </w:rPr>
        <w:t>應於營建工地運送具粉塵逸散性之工程材料、砂石、土方或廢棄物之車行出入口，設置洗車台，且應符合下列規定：</w:t>
      </w:r>
    </w:p>
    <w:p w14:paraId="1BDAFFD0" w14:textId="77777777" w:rsidR="001D1829" w:rsidRDefault="000D3CEB">
      <w:pPr>
        <w:pStyle w:val="a4"/>
        <w:spacing w:line="480" w:lineRule="exact"/>
        <w:ind w:left="2030" w:hanging="568"/>
        <w:jc w:val="both"/>
        <w:rPr>
          <w:rFonts w:ascii="標楷體" w:eastAsia="標楷體" w:hAnsi="標楷體"/>
          <w:sz w:val="28"/>
          <w:szCs w:val="28"/>
        </w:rPr>
      </w:pPr>
      <w:r>
        <w:rPr>
          <w:rFonts w:ascii="標楷體" w:eastAsia="標楷體" w:hAnsi="標楷體"/>
          <w:sz w:val="28"/>
          <w:szCs w:val="28"/>
        </w:rPr>
        <w:t>一、洗車台四周應設置</w:t>
      </w:r>
      <w:proofErr w:type="gramStart"/>
      <w:r>
        <w:rPr>
          <w:rFonts w:ascii="標楷體" w:eastAsia="標楷體" w:hAnsi="標楷體"/>
          <w:sz w:val="28"/>
          <w:szCs w:val="28"/>
        </w:rPr>
        <w:t>防溢座</w:t>
      </w:r>
      <w:proofErr w:type="gramEnd"/>
      <w:r>
        <w:rPr>
          <w:rFonts w:ascii="標楷體" w:eastAsia="標楷體" w:hAnsi="標楷體"/>
          <w:sz w:val="28"/>
          <w:szCs w:val="28"/>
        </w:rPr>
        <w:t>或其他防制設施，防止洗車廢水溢出工地。</w:t>
      </w:r>
    </w:p>
    <w:p w14:paraId="3B949D27" w14:textId="77777777" w:rsidR="001D1829" w:rsidRDefault="000D3CEB">
      <w:pPr>
        <w:pStyle w:val="a4"/>
        <w:spacing w:line="480" w:lineRule="exact"/>
        <w:ind w:left="2030" w:hanging="568"/>
        <w:jc w:val="both"/>
        <w:rPr>
          <w:rFonts w:ascii="標楷體" w:eastAsia="標楷體" w:hAnsi="標楷體"/>
          <w:sz w:val="28"/>
          <w:szCs w:val="28"/>
        </w:rPr>
      </w:pPr>
      <w:r>
        <w:rPr>
          <w:rFonts w:ascii="標楷體" w:eastAsia="標楷體" w:hAnsi="標楷體"/>
          <w:sz w:val="28"/>
          <w:szCs w:val="28"/>
        </w:rPr>
        <w:lastRenderedPageBreak/>
        <w:t>二、設置廢水收集</w:t>
      </w:r>
      <w:r>
        <w:rPr>
          <w:rFonts w:ascii="標楷體" w:eastAsia="標楷體" w:hAnsi="標楷體"/>
          <w:sz w:val="28"/>
          <w:szCs w:val="28"/>
        </w:rPr>
        <w:t>坑。</w:t>
      </w:r>
    </w:p>
    <w:p w14:paraId="4F5DC083" w14:textId="77777777" w:rsidR="001D1829" w:rsidRDefault="000D3CEB">
      <w:pPr>
        <w:pStyle w:val="a4"/>
        <w:spacing w:line="480" w:lineRule="exact"/>
        <w:ind w:left="2030" w:hanging="568"/>
        <w:jc w:val="both"/>
        <w:rPr>
          <w:rFonts w:ascii="標楷體" w:eastAsia="標楷體" w:hAnsi="標楷體"/>
          <w:sz w:val="28"/>
          <w:szCs w:val="28"/>
        </w:rPr>
      </w:pPr>
      <w:r>
        <w:rPr>
          <w:rFonts w:ascii="標楷體" w:eastAsia="標楷體" w:hAnsi="標楷體"/>
          <w:sz w:val="28"/>
          <w:szCs w:val="28"/>
        </w:rPr>
        <w:t>三、設置具有效</w:t>
      </w:r>
      <w:proofErr w:type="gramStart"/>
      <w:r>
        <w:rPr>
          <w:rFonts w:ascii="標楷體" w:eastAsia="標楷體" w:hAnsi="標楷體"/>
          <w:sz w:val="28"/>
          <w:szCs w:val="28"/>
        </w:rPr>
        <w:t>沉</w:t>
      </w:r>
      <w:proofErr w:type="gramEnd"/>
      <w:r>
        <w:rPr>
          <w:rFonts w:ascii="標楷體" w:eastAsia="標楷體" w:hAnsi="標楷體"/>
          <w:sz w:val="28"/>
          <w:szCs w:val="28"/>
        </w:rPr>
        <w:t>砂作用之</w:t>
      </w:r>
      <w:proofErr w:type="gramStart"/>
      <w:r>
        <w:rPr>
          <w:rFonts w:ascii="標楷體" w:eastAsia="標楷體" w:hAnsi="標楷體"/>
          <w:sz w:val="28"/>
          <w:szCs w:val="28"/>
        </w:rPr>
        <w:t>沉</w:t>
      </w:r>
      <w:proofErr w:type="gramEnd"/>
      <w:r>
        <w:rPr>
          <w:rFonts w:ascii="標楷體" w:eastAsia="標楷體" w:hAnsi="標楷體"/>
          <w:sz w:val="28"/>
          <w:szCs w:val="28"/>
        </w:rPr>
        <w:t>砂池。</w:t>
      </w:r>
    </w:p>
    <w:p w14:paraId="5AAF53EE" w14:textId="77777777" w:rsidR="001D1829" w:rsidRDefault="000D3CEB">
      <w:pPr>
        <w:pStyle w:val="a4"/>
        <w:spacing w:line="480" w:lineRule="exact"/>
        <w:ind w:left="851" w:firstLine="619"/>
        <w:jc w:val="both"/>
        <w:rPr>
          <w:rFonts w:ascii="標楷體" w:eastAsia="標楷體" w:hAnsi="標楷體"/>
          <w:sz w:val="28"/>
          <w:szCs w:val="28"/>
        </w:rPr>
      </w:pPr>
      <w:r>
        <w:rPr>
          <w:rFonts w:ascii="標楷體" w:eastAsia="標楷體" w:hAnsi="標楷體"/>
          <w:sz w:val="28"/>
          <w:szCs w:val="28"/>
        </w:rPr>
        <w:t>前項營建工程無設置洗車台空間時，得以加壓沖洗設備清洗，並妥善處理洗車廢水。</w:t>
      </w:r>
    </w:p>
    <w:p w14:paraId="1333B259" w14:textId="77777777" w:rsidR="001D1829" w:rsidRDefault="000D3CEB">
      <w:pPr>
        <w:pStyle w:val="a4"/>
        <w:spacing w:line="480" w:lineRule="exact"/>
        <w:ind w:left="851" w:firstLine="619"/>
        <w:jc w:val="both"/>
        <w:rPr>
          <w:rFonts w:ascii="標楷體" w:eastAsia="標楷體" w:hAnsi="標楷體"/>
          <w:sz w:val="28"/>
          <w:szCs w:val="28"/>
        </w:rPr>
      </w:pPr>
      <w:proofErr w:type="gramStart"/>
      <w:r>
        <w:rPr>
          <w:rFonts w:ascii="標楷體" w:eastAsia="標楷體" w:hAnsi="標楷體"/>
          <w:sz w:val="28"/>
          <w:szCs w:val="28"/>
        </w:rPr>
        <w:t>第一項洗車</w:t>
      </w:r>
      <w:proofErr w:type="gramEnd"/>
      <w:r>
        <w:rPr>
          <w:rFonts w:ascii="標楷體" w:eastAsia="標楷體" w:hAnsi="標楷體"/>
          <w:sz w:val="28"/>
          <w:szCs w:val="28"/>
        </w:rPr>
        <w:t>設施於車輛離開營建工地時，應有效清洗車體及輪胎，其表面不得附著污泥，或造成工地出入口及其延伸之道路有路面色差。</w:t>
      </w:r>
    </w:p>
    <w:p w14:paraId="414DAE7D" w14:textId="77777777" w:rsidR="001D1829" w:rsidRDefault="000D3CEB">
      <w:pPr>
        <w:pStyle w:val="a4"/>
        <w:spacing w:line="480" w:lineRule="exact"/>
        <w:ind w:left="851" w:firstLine="567"/>
        <w:jc w:val="both"/>
        <w:rPr>
          <w:rFonts w:ascii="標楷體" w:eastAsia="標楷體" w:hAnsi="標楷體"/>
          <w:sz w:val="28"/>
          <w:szCs w:val="28"/>
        </w:rPr>
      </w:pPr>
      <w:r>
        <w:rPr>
          <w:rFonts w:ascii="標楷體" w:eastAsia="標楷體" w:hAnsi="標楷體"/>
          <w:sz w:val="28"/>
          <w:szCs w:val="28"/>
        </w:rPr>
        <w:t>屬區域開發工程、疏</w:t>
      </w:r>
      <w:proofErr w:type="gramStart"/>
      <w:r>
        <w:rPr>
          <w:rFonts w:ascii="標楷體" w:eastAsia="標楷體" w:hAnsi="標楷體"/>
          <w:sz w:val="28"/>
          <w:szCs w:val="28"/>
        </w:rPr>
        <w:t>濬</w:t>
      </w:r>
      <w:proofErr w:type="gramEnd"/>
      <w:r>
        <w:rPr>
          <w:rFonts w:ascii="標楷體" w:eastAsia="標楷體" w:hAnsi="標楷體"/>
          <w:sz w:val="28"/>
          <w:szCs w:val="28"/>
        </w:rPr>
        <w:t>工程者，</w:t>
      </w:r>
      <w:proofErr w:type="gramStart"/>
      <w:r>
        <w:rPr>
          <w:rFonts w:ascii="標楷體" w:eastAsia="標楷體" w:hAnsi="標楷體"/>
          <w:sz w:val="28"/>
          <w:szCs w:val="28"/>
        </w:rPr>
        <w:t>應洗掃</w:t>
      </w:r>
      <w:proofErr w:type="gramEnd"/>
      <w:r>
        <w:rPr>
          <w:rFonts w:ascii="標楷體" w:eastAsia="標楷體" w:hAnsi="標楷體"/>
          <w:sz w:val="28"/>
          <w:szCs w:val="28"/>
        </w:rPr>
        <w:t>鄰接道路，並設置自動洗車設備，其項目及規格如附表</w:t>
      </w:r>
      <w:proofErr w:type="gramStart"/>
      <w:r>
        <w:rPr>
          <w:rFonts w:ascii="標楷體" w:eastAsia="標楷體" w:hAnsi="標楷體"/>
          <w:sz w:val="28"/>
          <w:szCs w:val="28"/>
        </w:rPr>
        <w:t>三</w:t>
      </w:r>
      <w:proofErr w:type="gramEnd"/>
      <w:r>
        <w:rPr>
          <w:rFonts w:ascii="標楷體" w:eastAsia="標楷體" w:hAnsi="標楷體"/>
          <w:sz w:val="28"/>
          <w:szCs w:val="28"/>
        </w:rPr>
        <w:t>。</w:t>
      </w:r>
    </w:p>
    <w:p w14:paraId="5C2BC70D" w14:textId="77777777" w:rsidR="001D1829" w:rsidRDefault="000D3CEB">
      <w:pPr>
        <w:pStyle w:val="Textbody"/>
        <w:spacing w:line="480" w:lineRule="exact"/>
        <w:ind w:left="1134" w:hanging="1134"/>
        <w:jc w:val="both"/>
      </w:pPr>
      <w:r>
        <w:rPr>
          <w:rFonts w:ascii="標楷體" w:eastAsia="標楷體" w:hAnsi="標楷體"/>
          <w:sz w:val="28"/>
          <w:szCs w:val="28"/>
        </w:rPr>
        <w:t xml:space="preserve">第十一條　　</w:t>
      </w:r>
      <w:r>
        <w:rPr>
          <w:rFonts w:ascii="標楷體" w:eastAsia="標楷體" w:hAnsi="標楷體" w:cs="Tahoma"/>
          <w:kern w:val="3"/>
          <w:sz w:val="28"/>
          <w:szCs w:val="28"/>
        </w:rPr>
        <w:t>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應於營建工地結構體施工架外緣或結構體上設置下列可抑制粉塵之設施之一：</w:t>
      </w:r>
    </w:p>
    <w:p w14:paraId="16802F2B"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一、防塵網。</w:t>
      </w:r>
    </w:p>
    <w:p w14:paraId="4E9E383F"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二、防塵布。</w:t>
      </w:r>
    </w:p>
    <w:p w14:paraId="26E0A87F"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三、自動灑水設備，灑水範圍應涵蓋結構體。</w:t>
      </w:r>
    </w:p>
    <w:p w14:paraId="13ACE149" w14:textId="77777777" w:rsidR="001D1829" w:rsidRDefault="000D3CEB">
      <w:pPr>
        <w:pStyle w:val="Textbody"/>
        <w:spacing w:line="480" w:lineRule="exact"/>
        <w:ind w:left="1120" w:hanging="1120"/>
        <w:jc w:val="both"/>
      </w:pPr>
      <w:r>
        <w:rPr>
          <w:rFonts w:ascii="標楷體" w:eastAsia="標楷體" w:hAnsi="標楷體"/>
          <w:sz w:val="28"/>
          <w:szCs w:val="28"/>
        </w:rPr>
        <w:t xml:space="preserve">第十二條　　</w:t>
      </w:r>
      <w:r>
        <w:rPr>
          <w:rFonts w:ascii="標楷體" w:eastAsia="標楷體" w:hAnsi="標楷體" w:cs="Tahoma"/>
          <w:kern w:val="3"/>
          <w:sz w:val="28"/>
          <w:szCs w:val="28"/>
        </w:rPr>
        <w:t>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將營建工地內上層具粉塵逸散性之工程材料、砂石、土方或廢棄物輸送至地面或地下樓層，應</w:t>
      </w:r>
      <w:proofErr w:type="gramStart"/>
      <w:r>
        <w:rPr>
          <w:rFonts w:ascii="標楷體" w:eastAsia="標楷體" w:hAnsi="標楷體" w:cs="Tahoma"/>
          <w:kern w:val="3"/>
          <w:sz w:val="28"/>
          <w:szCs w:val="28"/>
        </w:rPr>
        <w:t>採</w:t>
      </w:r>
      <w:proofErr w:type="gramEnd"/>
      <w:r>
        <w:rPr>
          <w:rFonts w:ascii="標楷體" w:eastAsia="標楷體" w:hAnsi="標楷體" w:cs="Tahoma"/>
          <w:kern w:val="3"/>
          <w:sz w:val="28"/>
          <w:szCs w:val="28"/>
        </w:rPr>
        <w:t>行下列可抑制粉塵逸散之方式之</w:t>
      </w:r>
      <w:proofErr w:type="gramStart"/>
      <w:r>
        <w:rPr>
          <w:rFonts w:ascii="標楷體" w:eastAsia="標楷體" w:hAnsi="標楷體" w:cs="Tahoma"/>
          <w:kern w:val="3"/>
          <w:sz w:val="28"/>
          <w:szCs w:val="28"/>
        </w:rPr>
        <w:t>一</w:t>
      </w:r>
      <w:proofErr w:type="gramEnd"/>
      <w:r>
        <w:rPr>
          <w:rFonts w:ascii="標楷體" w:eastAsia="標楷體" w:hAnsi="標楷體" w:cs="Tahoma"/>
          <w:kern w:val="3"/>
          <w:sz w:val="28"/>
          <w:szCs w:val="28"/>
        </w:rPr>
        <w:t>：</w:t>
      </w:r>
    </w:p>
    <w:p w14:paraId="6A4B7C7E"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一、以電梯孔道輸送。</w:t>
      </w:r>
    </w:p>
    <w:p w14:paraId="6CF3D8D8"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二、以建築物內部管道輸送。</w:t>
      </w:r>
    </w:p>
    <w:p w14:paraId="61D2C5F6"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三、以密閉輸送管道輸送。</w:t>
      </w:r>
    </w:p>
    <w:p w14:paraId="6E0152FE" w14:textId="77777777" w:rsidR="001D1829" w:rsidRDefault="000D3CEB">
      <w:pPr>
        <w:pStyle w:val="a4"/>
        <w:spacing w:line="480" w:lineRule="exact"/>
        <w:ind w:left="1418" w:firstLine="344"/>
        <w:jc w:val="both"/>
        <w:rPr>
          <w:rFonts w:ascii="標楷體" w:eastAsia="標楷體" w:hAnsi="標楷體"/>
          <w:sz w:val="28"/>
          <w:szCs w:val="28"/>
        </w:rPr>
      </w:pPr>
      <w:r>
        <w:rPr>
          <w:rFonts w:ascii="標楷體" w:eastAsia="標楷體" w:hAnsi="標楷體"/>
          <w:sz w:val="28"/>
          <w:szCs w:val="28"/>
        </w:rPr>
        <w:t>四、以人工搬運。</w:t>
      </w:r>
    </w:p>
    <w:p w14:paraId="43D9D84E" w14:textId="77777777" w:rsidR="001D1829" w:rsidRDefault="000D3CEB">
      <w:pPr>
        <w:pStyle w:val="a4"/>
        <w:spacing w:line="480" w:lineRule="exact"/>
        <w:ind w:left="1148" w:firstLine="602"/>
        <w:jc w:val="both"/>
        <w:rPr>
          <w:rFonts w:ascii="標楷體" w:eastAsia="標楷體" w:hAnsi="標楷體"/>
          <w:sz w:val="28"/>
          <w:szCs w:val="28"/>
        </w:rPr>
      </w:pPr>
      <w:r>
        <w:rPr>
          <w:rFonts w:ascii="標楷體" w:eastAsia="標楷體" w:hAnsi="標楷體"/>
          <w:sz w:val="28"/>
          <w:szCs w:val="28"/>
        </w:rPr>
        <w:t>前項第一款至</w:t>
      </w:r>
      <w:proofErr w:type="gramStart"/>
      <w:r>
        <w:rPr>
          <w:rFonts w:ascii="標楷體" w:eastAsia="標楷體" w:hAnsi="標楷體"/>
          <w:sz w:val="28"/>
          <w:szCs w:val="28"/>
        </w:rPr>
        <w:t>第三款管</w:t>
      </w:r>
      <w:proofErr w:type="gramEnd"/>
      <w:r>
        <w:rPr>
          <w:rFonts w:ascii="標楷體" w:eastAsia="標楷體" w:hAnsi="標楷體"/>
          <w:sz w:val="28"/>
          <w:szCs w:val="28"/>
        </w:rPr>
        <w:t>（孔）道出口，應設置抑制粉塵逸散之圍籬並灑水。</w:t>
      </w:r>
    </w:p>
    <w:p w14:paraId="174BEFE5" w14:textId="77777777" w:rsidR="001D1829" w:rsidRDefault="000D3CEB">
      <w:pPr>
        <w:pStyle w:val="Textbody"/>
        <w:spacing w:line="480" w:lineRule="exact"/>
        <w:ind w:left="1148" w:hanging="1148"/>
        <w:jc w:val="both"/>
      </w:pPr>
      <w:r>
        <w:rPr>
          <w:rFonts w:ascii="標楷體" w:eastAsia="標楷體" w:hAnsi="標楷體"/>
          <w:sz w:val="28"/>
          <w:szCs w:val="28"/>
        </w:rPr>
        <w:t xml:space="preserve">第十三條　　</w:t>
      </w:r>
      <w:r>
        <w:rPr>
          <w:rFonts w:ascii="標楷體" w:eastAsia="標楷體" w:hAnsi="標楷體" w:cs="Tahoma"/>
          <w:kern w:val="3"/>
          <w:sz w:val="28"/>
          <w:szCs w:val="28"/>
        </w:rPr>
        <w:t>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運輸具粉塵逸散性之工程材料、砂石、土方或廢棄物之車輛應使用</w:t>
      </w:r>
      <w:proofErr w:type="gramStart"/>
      <w:r>
        <w:rPr>
          <w:rFonts w:ascii="標楷體" w:eastAsia="標楷體" w:hAnsi="標楷體" w:cs="Tahoma"/>
          <w:kern w:val="3"/>
          <w:sz w:val="28"/>
          <w:szCs w:val="28"/>
        </w:rPr>
        <w:t>密閉式貨廂</w:t>
      </w:r>
      <w:proofErr w:type="gramEnd"/>
      <w:r>
        <w:rPr>
          <w:rFonts w:ascii="標楷體" w:eastAsia="標楷體" w:hAnsi="標楷體" w:cs="Tahoma"/>
          <w:kern w:val="3"/>
          <w:sz w:val="28"/>
          <w:szCs w:val="28"/>
        </w:rPr>
        <w:t>，或以防塵布、防塵網緊密</w:t>
      </w:r>
      <w:proofErr w:type="gramStart"/>
      <w:r>
        <w:rPr>
          <w:rFonts w:ascii="標楷體" w:eastAsia="標楷體" w:hAnsi="標楷體" w:cs="Tahoma"/>
          <w:kern w:val="3"/>
          <w:sz w:val="28"/>
          <w:szCs w:val="28"/>
        </w:rPr>
        <w:t>覆蓋貨廂</w:t>
      </w:r>
      <w:proofErr w:type="gramEnd"/>
      <w:r>
        <w:rPr>
          <w:rFonts w:ascii="標楷體" w:eastAsia="標楷體" w:hAnsi="標楷體" w:cs="Tahoma"/>
          <w:kern w:val="3"/>
          <w:sz w:val="28"/>
          <w:szCs w:val="28"/>
        </w:rPr>
        <w:t>，並捆</w:t>
      </w:r>
      <w:proofErr w:type="gramStart"/>
      <w:r>
        <w:rPr>
          <w:rFonts w:ascii="標楷體" w:eastAsia="標楷體" w:hAnsi="標楷體" w:cs="Tahoma"/>
          <w:kern w:val="3"/>
          <w:sz w:val="28"/>
          <w:szCs w:val="28"/>
        </w:rPr>
        <w:t>紮</w:t>
      </w:r>
      <w:proofErr w:type="gramEnd"/>
      <w:r>
        <w:rPr>
          <w:rFonts w:ascii="標楷體" w:eastAsia="標楷體" w:hAnsi="標楷體" w:cs="Tahoma"/>
          <w:kern w:val="3"/>
          <w:sz w:val="28"/>
          <w:szCs w:val="28"/>
        </w:rPr>
        <w:t>牢</w:t>
      </w:r>
      <w:r>
        <w:rPr>
          <w:rFonts w:ascii="標楷體" w:eastAsia="標楷體" w:hAnsi="標楷體" w:cs="Tahoma"/>
          <w:kern w:val="3"/>
          <w:sz w:val="28"/>
          <w:szCs w:val="28"/>
        </w:rPr>
        <w:t>靠，邊緣應延伸覆蓋</w:t>
      </w:r>
      <w:proofErr w:type="gramStart"/>
      <w:r>
        <w:rPr>
          <w:rFonts w:ascii="標楷體" w:eastAsia="標楷體" w:hAnsi="標楷體" w:cs="Tahoma"/>
          <w:kern w:val="3"/>
          <w:sz w:val="28"/>
          <w:szCs w:val="28"/>
        </w:rPr>
        <w:t>至貨廂上</w:t>
      </w:r>
      <w:proofErr w:type="gramEnd"/>
      <w:r>
        <w:rPr>
          <w:rFonts w:ascii="標楷體" w:eastAsia="標楷體" w:hAnsi="標楷體" w:cs="Tahoma"/>
          <w:kern w:val="3"/>
          <w:sz w:val="28"/>
          <w:szCs w:val="28"/>
        </w:rPr>
        <w:t>緣以下至少十五公分。運輸車輛</w:t>
      </w:r>
      <w:proofErr w:type="gramStart"/>
      <w:r>
        <w:rPr>
          <w:rFonts w:ascii="標楷體" w:eastAsia="標楷體" w:hAnsi="標楷體" w:cs="Tahoma"/>
          <w:kern w:val="3"/>
          <w:sz w:val="28"/>
          <w:szCs w:val="28"/>
        </w:rPr>
        <w:t>貨廂應</w:t>
      </w:r>
      <w:proofErr w:type="gramEnd"/>
      <w:r>
        <w:rPr>
          <w:rFonts w:ascii="標楷體" w:eastAsia="標楷體" w:hAnsi="標楷體" w:cs="Tahoma"/>
          <w:kern w:val="3"/>
          <w:sz w:val="28"/>
          <w:szCs w:val="28"/>
        </w:rPr>
        <w:t>具有防止載運物料滴落污水、污泥之功能或設施。</w:t>
      </w:r>
    </w:p>
    <w:p w14:paraId="573EE993" w14:textId="77777777" w:rsidR="001D1829" w:rsidRDefault="000D3CEB">
      <w:pPr>
        <w:pStyle w:val="Textbody"/>
        <w:spacing w:line="480" w:lineRule="exact"/>
        <w:ind w:left="1162" w:hanging="1162"/>
        <w:jc w:val="both"/>
        <w:rPr>
          <w:rFonts w:ascii="標楷體" w:eastAsia="標楷體" w:hAnsi="標楷體" w:cs="Tahoma"/>
          <w:kern w:val="3"/>
          <w:sz w:val="28"/>
          <w:szCs w:val="28"/>
        </w:rPr>
      </w:pPr>
      <w:r>
        <w:rPr>
          <w:rFonts w:ascii="標楷體" w:eastAsia="標楷體" w:hAnsi="標楷體" w:cs="Tahoma"/>
          <w:kern w:val="3"/>
          <w:sz w:val="28"/>
          <w:szCs w:val="28"/>
        </w:rPr>
        <w:lastRenderedPageBreak/>
        <w:t>第十四條　　營建業主於營建工程進行拆除</w:t>
      </w:r>
      <w:proofErr w:type="gramStart"/>
      <w:r>
        <w:rPr>
          <w:rFonts w:ascii="標楷體" w:eastAsia="標楷體" w:hAnsi="標楷體" w:cs="Tahoma"/>
          <w:kern w:val="3"/>
          <w:sz w:val="28"/>
          <w:szCs w:val="28"/>
        </w:rPr>
        <w:t>期間，應採</w:t>
      </w:r>
      <w:proofErr w:type="gramEnd"/>
      <w:r>
        <w:rPr>
          <w:rFonts w:ascii="標楷體" w:eastAsia="標楷體" w:hAnsi="標楷體" w:cs="Tahoma"/>
          <w:kern w:val="3"/>
          <w:sz w:val="28"/>
          <w:szCs w:val="28"/>
        </w:rPr>
        <w:t>行下列有效抑制粉塵之防制設施之一：</w:t>
      </w:r>
    </w:p>
    <w:p w14:paraId="23938DE3" w14:textId="77777777" w:rsidR="001D1829" w:rsidRDefault="000D3CEB">
      <w:pPr>
        <w:pStyle w:val="a4"/>
        <w:spacing w:line="480" w:lineRule="exact"/>
        <w:ind w:left="1418" w:firstLine="332"/>
        <w:jc w:val="both"/>
        <w:rPr>
          <w:rFonts w:ascii="標楷體" w:eastAsia="標楷體" w:hAnsi="標楷體"/>
          <w:sz w:val="28"/>
          <w:szCs w:val="28"/>
        </w:rPr>
      </w:pPr>
      <w:r>
        <w:rPr>
          <w:rFonts w:ascii="標楷體" w:eastAsia="標楷體" w:hAnsi="標楷體"/>
          <w:sz w:val="28"/>
          <w:szCs w:val="28"/>
        </w:rPr>
        <w:t>一、設置加壓噴水設施，並於拆除作業期間持續噴水。</w:t>
      </w:r>
    </w:p>
    <w:p w14:paraId="6EB6FD00" w14:textId="77777777" w:rsidR="001D1829" w:rsidRDefault="000D3CEB">
      <w:pPr>
        <w:pStyle w:val="a4"/>
        <w:spacing w:line="480" w:lineRule="exact"/>
        <w:ind w:left="1418" w:firstLine="332"/>
        <w:jc w:val="both"/>
        <w:rPr>
          <w:rFonts w:ascii="標楷體" w:eastAsia="標楷體" w:hAnsi="標楷體"/>
          <w:sz w:val="28"/>
          <w:szCs w:val="28"/>
        </w:rPr>
      </w:pPr>
      <w:r>
        <w:rPr>
          <w:rFonts w:ascii="標楷體" w:eastAsia="標楷體" w:hAnsi="標楷體"/>
          <w:sz w:val="28"/>
          <w:szCs w:val="28"/>
        </w:rPr>
        <w:t>二、於結構體包覆防塵布。</w:t>
      </w:r>
    </w:p>
    <w:p w14:paraId="7D14EA66" w14:textId="77777777" w:rsidR="001D1829" w:rsidRDefault="000D3CEB">
      <w:pPr>
        <w:pStyle w:val="a4"/>
        <w:spacing w:line="480" w:lineRule="exact"/>
        <w:ind w:left="1418" w:firstLine="332"/>
        <w:jc w:val="both"/>
        <w:rPr>
          <w:rFonts w:ascii="標楷體" w:eastAsia="標楷體" w:hAnsi="標楷體"/>
          <w:sz w:val="28"/>
          <w:szCs w:val="28"/>
        </w:rPr>
      </w:pPr>
      <w:r>
        <w:rPr>
          <w:rFonts w:ascii="標楷體" w:eastAsia="標楷體" w:hAnsi="標楷體"/>
          <w:sz w:val="28"/>
          <w:szCs w:val="28"/>
        </w:rPr>
        <w:t>三、於結構體四周設置高度達二．四公尺之阻隔設施。</w:t>
      </w:r>
    </w:p>
    <w:p w14:paraId="26713F92" w14:textId="77777777" w:rsidR="001D1829" w:rsidRDefault="000D3CEB">
      <w:pPr>
        <w:pStyle w:val="a4"/>
        <w:spacing w:line="480" w:lineRule="exact"/>
        <w:ind w:left="1176" w:firstLine="560"/>
        <w:jc w:val="both"/>
        <w:rPr>
          <w:rFonts w:ascii="標楷體" w:eastAsia="標楷體" w:hAnsi="標楷體"/>
          <w:sz w:val="28"/>
          <w:szCs w:val="28"/>
        </w:rPr>
      </w:pPr>
      <w:r>
        <w:rPr>
          <w:rFonts w:ascii="標楷體" w:eastAsia="標楷體" w:hAnsi="標楷體"/>
          <w:sz w:val="28"/>
          <w:szCs w:val="28"/>
        </w:rPr>
        <w:t>前項屬第一級營建工程者，應至少同時</w:t>
      </w:r>
      <w:proofErr w:type="gramStart"/>
      <w:r>
        <w:rPr>
          <w:rFonts w:ascii="標楷體" w:eastAsia="標楷體" w:hAnsi="標楷體"/>
          <w:sz w:val="28"/>
          <w:szCs w:val="28"/>
        </w:rPr>
        <w:t>採</w:t>
      </w:r>
      <w:proofErr w:type="gramEnd"/>
      <w:r>
        <w:rPr>
          <w:rFonts w:ascii="標楷體" w:eastAsia="標楷體" w:hAnsi="標楷體"/>
          <w:sz w:val="28"/>
          <w:szCs w:val="28"/>
        </w:rPr>
        <w:t>行第一款、第二款之防制設施。</w:t>
      </w:r>
    </w:p>
    <w:p w14:paraId="61A088E5" w14:textId="77777777" w:rsidR="001D1829" w:rsidRDefault="000D3CEB">
      <w:pPr>
        <w:pStyle w:val="Textbody"/>
        <w:spacing w:line="480" w:lineRule="exact"/>
        <w:ind w:left="1162" w:hanging="1162"/>
        <w:jc w:val="both"/>
      </w:pPr>
      <w:r>
        <w:rPr>
          <w:rFonts w:ascii="標楷體" w:eastAsia="標楷體" w:hAnsi="標楷體"/>
          <w:sz w:val="28"/>
          <w:szCs w:val="28"/>
        </w:rPr>
        <w:t xml:space="preserve">第十五條　　</w:t>
      </w:r>
      <w:r>
        <w:rPr>
          <w:rFonts w:ascii="標楷體" w:eastAsia="標楷體" w:hAnsi="標楷體" w:cs="Tahoma"/>
          <w:kern w:val="3"/>
          <w:sz w:val="28"/>
          <w:szCs w:val="28"/>
        </w:rPr>
        <w:t>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應於具有排放粒狀污染物質之排氣井或排風口，設置旋風分離器、袋式</w:t>
      </w:r>
      <w:proofErr w:type="gramStart"/>
      <w:r>
        <w:rPr>
          <w:rFonts w:ascii="標楷體" w:eastAsia="標楷體" w:hAnsi="標楷體" w:cs="Tahoma"/>
          <w:kern w:val="3"/>
          <w:sz w:val="28"/>
          <w:szCs w:val="28"/>
        </w:rPr>
        <w:t>集塵器或</w:t>
      </w:r>
      <w:proofErr w:type="gramEnd"/>
      <w:r>
        <w:rPr>
          <w:rFonts w:ascii="標楷體" w:eastAsia="標楷體" w:hAnsi="標楷體" w:cs="Tahoma"/>
          <w:kern w:val="3"/>
          <w:sz w:val="28"/>
          <w:szCs w:val="28"/>
        </w:rPr>
        <w:t>其他有效之集塵設備。</w:t>
      </w:r>
    </w:p>
    <w:p w14:paraId="66B0B69F" w14:textId="77777777" w:rsidR="001D1829" w:rsidRDefault="000D3CEB">
      <w:pPr>
        <w:pStyle w:val="a3"/>
        <w:spacing w:line="480" w:lineRule="exact"/>
        <w:ind w:left="1162" w:right="57" w:hanging="1162"/>
      </w:pPr>
      <w:r>
        <w:rPr>
          <w:rFonts w:ascii="標楷體" w:hAnsi="標楷體" w:cs="Tahoma"/>
          <w:sz w:val="28"/>
          <w:szCs w:val="28"/>
        </w:rPr>
        <w:t xml:space="preserve">第十六條　　</w:t>
      </w:r>
      <w:r>
        <w:rPr>
          <w:rFonts w:ascii="標楷體" w:hAnsi="標楷體" w:cs="Tahoma"/>
          <w:spacing w:val="0"/>
          <w:sz w:val="28"/>
          <w:szCs w:val="28"/>
        </w:rPr>
        <w:t>營建業主於營建工程進行</w:t>
      </w:r>
      <w:proofErr w:type="gramStart"/>
      <w:r>
        <w:rPr>
          <w:rFonts w:ascii="標楷體" w:hAnsi="標楷體" w:cs="Tahoma"/>
          <w:spacing w:val="0"/>
          <w:sz w:val="28"/>
          <w:szCs w:val="28"/>
        </w:rPr>
        <w:t>期間，</w:t>
      </w:r>
      <w:proofErr w:type="gramEnd"/>
      <w:r>
        <w:rPr>
          <w:rFonts w:ascii="標楷體" w:hAnsi="標楷體" w:cs="Tahoma"/>
          <w:spacing w:val="0"/>
          <w:sz w:val="28"/>
          <w:szCs w:val="28"/>
        </w:rPr>
        <w:t>從事具粉塵逸散性之開挖、回填、搬運、裝卸、</w:t>
      </w:r>
      <w:proofErr w:type="gramStart"/>
      <w:r>
        <w:rPr>
          <w:rFonts w:ascii="標楷體" w:hAnsi="標楷體" w:cs="Tahoma"/>
          <w:spacing w:val="0"/>
          <w:sz w:val="28"/>
          <w:szCs w:val="28"/>
        </w:rPr>
        <w:t>夯實、篩分</w:t>
      </w:r>
      <w:proofErr w:type="gramEnd"/>
      <w:r>
        <w:rPr>
          <w:rFonts w:ascii="標楷體" w:hAnsi="標楷體" w:cs="Tahoma"/>
          <w:spacing w:val="0"/>
          <w:sz w:val="28"/>
          <w:szCs w:val="28"/>
        </w:rPr>
        <w:t>或其他易致粉塵逸散之作業前，應灑水保持濕潤。</w:t>
      </w:r>
    </w:p>
    <w:p w14:paraId="245ACE26" w14:textId="77777777" w:rsidR="001D1829" w:rsidRDefault="000D3CEB">
      <w:pPr>
        <w:pStyle w:val="Textbody"/>
        <w:spacing w:line="480" w:lineRule="exact"/>
        <w:ind w:left="1162" w:firstLine="602"/>
        <w:jc w:val="both"/>
        <w:rPr>
          <w:rFonts w:ascii="標楷體" w:eastAsia="標楷體" w:hAnsi="標楷體" w:cs="Tahoma"/>
          <w:kern w:val="3"/>
          <w:sz w:val="28"/>
          <w:szCs w:val="28"/>
        </w:rPr>
      </w:pPr>
      <w:r>
        <w:rPr>
          <w:rFonts w:ascii="標楷體" w:eastAsia="標楷體" w:hAnsi="標楷體" w:cs="Tahoma"/>
          <w:kern w:val="3"/>
          <w:sz w:val="28"/>
          <w:szCs w:val="28"/>
        </w:rPr>
        <w:t>前項規定，於經濟部核定第三及第四階段停止及限制供水措施區域內之營建工程，不適用之。</w:t>
      </w:r>
    </w:p>
    <w:p w14:paraId="4AA36038" w14:textId="77777777" w:rsidR="001D1829" w:rsidRDefault="000D3CEB">
      <w:pPr>
        <w:pStyle w:val="Textbody"/>
        <w:spacing w:line="480" w:lineRule="exact"/>
        <w:ind w:left="1162" w:hanging="1162"/>
        <w:jc w:val="both"/>
        <w:rPr>
          <w:rFonts w:ascii="標楷體" w:eastAsia="標楷體" w:hAnsi="標楷體" w:cs="Tahoma"/>
          <w:kern w:val="3"/>
          <w:sz w:val="28"/>
          <w:szCs w:val="28"/>
        </w:rPr>
      </w:pPr>
      <w:r>
        <w:rPr>
          <w:rFonts w:ascii="標楷體" w:eastAsia="標楷體" w:hAnsi="標楷體" w:cs="Tahoma"/>
          <w:kern w:val="3"/>
          <w:sz w:val="28"/>
          <w:szCs w:val="28"/>
        </w:rPr>
        <w:t>第十七條　　營建業主於營建工程進行</w:t>
      </w:r>
      <w:proofErr w:type="gramStart"/>
      <w:r>
        <w:rPr>
          <w:rFonts w:ascii="標楷體" w:eastAsia="標楷體" w:hAnsi="標楷體" w:cs="Tahoma"/>
          <w:kern w:val="3"/>
          <w:sz w:val="28"/>
          <w:szCs w:val="28"/>
        </w:rPr>
        <w:t>期間，</w:t>
      </w:r>
      <w:proofErr w:type="gramEnd"/>
      <w:r>
        <w:rPr>
          <w:rFonts w:ascii="標楷體" w:eastAsia="標楷體" w:hAnsi="標楷體" w:cs="Tahoma"/>
          <w:kern w:val="3"/>
          <w:sz w:val="28"/>
          <w:szCs w:val="28"/>
        </w:rPr>
        <w:t>從事破（粉）碎、研磨、切割、刨除或其他易致粉塵逸散之操作，應設置或</w:t>
      </w:r>
      <w:proofErr w:type="gramStart"/>
      <w:r>
        <w:rPr>
          <w:rFonts w:ascii="標楷體" w:eastAsia="標楷體" w:hAnsi="標楷體" w:cs="Tahoma"/>
          <w:kern w:val="3"/>
          <w:sz w:val="28"/>
          <w:szCs w:val="28"/>
        </w:rPr>
        <w:t>採</w:t>
      </w:r>
      <w:proofErr w:type="gramEnd"/>
      <w:r>
        <w:rPr>
          <w:rFonts w:ascii="標楷體" w:eastAsia="標楷體" w:hAnsi="標楷體" w:cs="Tahoma"/>
          <w:kern w:val="3"/>
          <w:sz w:val="28"/>
          <w:szCs w:val="28"/>
        </w:rPr>
        <w:t>行下列有效收集或抑制粉塵</w:t>
      </w:r>
      <w:proofErr w:type="gramStart"/>
      <w:r>
        <w:rPr>
          <w:rFonts w:ascii="標楷體" w:eastAsia="標楷體" w:hAnsi="標楷體" w:cs="Tahoma"/>
          <w:kern w:val="3"/>
          <w:sz w:val="28"/>
          <w:szCs w:val="28"/>
        </w:rPr>
        <w:t>逸散設施之一</w:t>
      </w:r>
      <w:proofErr w:type="gramEnd"/>
      <w:r>
        <w:rPr>
          <w:rFonts w:ascii="標楷體" w:eastAsia="標楷體" w:hAnsi="標楷體" w:cs="Tahoma"/>
          <w:kern w:val="3"/>
          <w:sz w:val="28"/>
          <w:szCs w:val="28"/>
        </w:rPr>
        <w:t>：</w:t>
      </w:r>
    </w:p>
    <w:p w14:paraId="78AF2B11" w14:textId="77777777" w:rsidR="001D1829" w:rsidRDefault="000D3CEB">
      <w:pPr>
        <w:pStyle w:val="a4"/>
        <w:spacing w:line="480" w:lineRule="exact"/>
        <w:ind w:left="2338" w:hanging="574"/>
        <w:jc w:val="both"/>
        <w:rPr>
          <w:rFonts w:ascii="標楷體" w:eastAsia="標楷體" w:hAnsi="標楷體"/>
          <w:sz w:val="28"/>
          <w:szCs w:val="28"/>
        </w:rPr>
      </w:pPr>
      <w:r>
        <w:rPr>
          <w:rFonts w:ascii="標楷體" w:eastAsia="標楷體" w:hAnsi="標楷體"/>
          <w:sz w:val="28"/>
          <w:szCs w:val="28"/>
        </w:rPr>
        <w:t>一、設置</w:t>
      </w:r>
      <w:proofErr w:type="gramStart"/>
      <w:r>
        <w:rPr>
          <w:rFonts w:ascii="標楷體" w:eastAsia="標楷體" w:hAnsi="標楷體"/>
          <w:sz w:val="28"/>
          <w:szCs w:val="28"/>
        </w:rPr>
        <w:t>局部集氣系統</w:t>
      </w:r>
      <w:proofErr w:type="gramEnd"/>
      <w:r>
        <w:rPr>
          <w:rFonts w:ascii="標楷體" w:eastAsia="標楷體" w:hAnsi="標楷體"/>
          <w:sz w:val="28"/>
          <w:szCs w:val="28"/>
        </w:rPr>
        <w:t>，將粒狀污染物質收集及處理後排放。</w:t>
      </w:r>
    </w:p>
    <w:p w14:paraId="73142C80" w14:textId="77777777" w:rsidR="001D1829" w:rsidRDefault="000D3CEB">
      <w:pPr>
        <w:pStyle w:val="a4"/>
        <w:spacing w:line="480" w:lineRule="exact"/>
        <w:ind w:left="2338" w:hanging="574"/>
        <w:jc w:val="both"/>
        <w:rPr>
          <w:rFonts w:ascii="標楷體" w:eastAsia="標楷體" w:hAnsi="標楷體"/>
          <w:sz w:val="28"/>
          <w:szCs w:val="28"/>
        </w:rPr>
      </w:pPr>
      <w:r>
        <w:rPr>
          <w:rFonts w:ascii="標楷體" w:eastAsia="標楷體" w:hAnsi="標楷體"/>
          <w:sz w:val="28"/>
          <w:szCs w:val="28"/>
        </w:rPr>
        <w:t>二、設置加壓噴水設施，並於操作期間持續噴水。</w:t>
      </w:r>
    </w:p>
    <w:p w14:paraId="67FC181E" w14:textId="77777777" w:rsidR="001D1829" w:rsidRDefault="000D3CEB">
      <w:pPr>
        <w:pStyle w:val="Textbody"/>
        <w:spacing w:line="480" w:lineRule="exact"/>
        <w:ind w:left="1162" w:hanging="1162"/>
        <w:jc w:val="both"/>
      </w:pPr>
      <w:r>
        <w:rPr>
          <w:rFonts w:ascii="標楷體" w:eastAsia="標楷體" w:hAnsi="標楷體"/>
          <w:sz w:val="28"/>
          <w:szCs w:val="28"/>
        </w:rPr>
        <w:t xml:space="preserve">第十八條　　</w:t>
      </w:r>
      <w:r>
        <w:rPr>
          <w:rFonts w:ascii="標楷體" w:eastAsia="標楷體" w:hAnsi="標楷體" w:cs="Tahoma"/>
          <w:kern w:val="3"/>
          <w:sz w:val="28"/>
          <w:szCs w:val="28"/>
        </w:rPr>
        <w:t>營建工程施工規模達下列條件之</w:t>
      </w:r>
      <w:proofErr w:type="gramStart"/>
      <w:r>
        <w:rPr>
          <w:rFonts w:ascii="標楷體" w:eastAsia="標楷體" w:hAnsi="標楷體" w:cs="Tahoma"/>
          <w:kern w:val="3"/>
          <w:sz w:val="28"/>
          <w:szCs w:val="28"/>
        </w:rPr>
        <w:t>一</w:t>
      </w:r>
      <w:proofErr w:type="gramEnd"/>
      <w:r>
        <w:rPr>
          <w:rFonts w:ascii="標楷體" w:eastAsia="標楷體" w:hAnsi="標楷體" w:cs="Tahoma"/>
          <w:kern w:val="3"/>
          <w:sz w:val="28"/>
          <w:szCs w:val="28"/>
        </w:rPr>
        <w:t>者，營建業主應依附表四及附表五規定，設置空氣污染防制設施之監測</w:t>
      </w:r>
      <w:proofErr w:type="gramStart"/>
      <w:r>
        <w:rPr>
          <w:rFonts w:ascii="標楷體" w:eastAsia="標楷體" w:hAnsi="標楷體" w:cs="Tahoma"/>
          <w:kern w:val="3"/>
          <w:sz w:val="28"/>
          <w:szCs w:val="28"/>
        </w:rPr>
        <w:t>儀表及攝錄影</w:t>
      </w:r>
      <w:proofErr w:type="gramEnd"/>
      <w:r>
        <w:rPr>
          <w:rFonts w:ascii="標楷體" w:eastAsia="標楷體" w:hAnsi="標楷體" w:cs="Tahoma"/>
          <w:kern w:val="3"/>
          <w:sz w:val="28"/>
          <w:szCs w:val="28"/>
        </w:rPr>
        <w:t>監視系統（至少須具備二支以上攝影鏡頭），</w:t>
      </w:r>
      <w:proofErr w:type="gramStart"/>
      <w:r>
        <w:rPr>
          <w:rFonts w:ascii="標楷體" w:eastAsia="標楷體" w:hAnsi="標楷體" w:cs="Tahoma"/>
          <w:kern w:val="3"/>
          <w:sz w:val="28"/>
          <w:szCs w:val="28"/>
        </w:rPr>
        <w:t>並依表列</w:t>
      </w:r>
      <w:proofErr w:type="gramEnd"/>
      <w:r>
        <w:rPr>
          <w:rFonts w:ascii="標楷體" w:eastAsia="標楷體" w:hAnsi="標楷體" w:cs="Tahoma"/>
          <w:kern w:val="3"/>
          <w:sz w:val="28"/>
          <w:szCs w:val="28"/>
        </w:rPr>
        <w:t>項目及頻率進行記錄，記錄之影像及資料應保存一個月備查：</w:t>
      </w:r>
    </w:p>
    <w:p w14:paraId="4D362D36" w14:textId="77777777" w:rsidR="001D1829" w:rsidRDefault="000D3CEB">
      <w:pPr>
        <w:pStyle w:val="a4"/>
        <w:spacing w:line="480" w:lineRule="exact"/>
        <w:ind w:left="1418" w:firstLine="346"/>
        <w:jc w:val="both"/>
        <w:rPr>
          <w:rFonts w:ascii="標楷體" w:eastAsia="標楷體" w:hAnsi="標楷體"/>
          <w:sz w:val="28"/>
          <w:szCs w:val="28"/>
        </w:rPr>
      </w:pPr>
      <w:r>
        <w:rPr>
          <w:rFonts w:ascii="標楷體" w:eastAsia="標楷體" w:hAnsi="標楷體"/>
          <w:sz w:val="28"/>
          <w:szCs w:val="28"/>
        </w:rPr>
        <w:t>一、工地面積達一萬平方公尺且工期達一年者。</w:t>
      </w:r>
    </w:p>
    <w:p w14:paraId="32714330" w14:textId="77777777" w:rsidR="001D1829" w:rsidRDefault="000D3CEB">
      <w:pPr>
        <w:pStyle w:val="a4"/>
        <w:spacing w:line="480" w:lineRule="exact"/>
        <w:ind w:left="1418" w:firstLine="346"/>
        <w:jc w:val="both"/>
        <w:rPr>
          <w:rFonts w:ascii="標楷體" w:eastAsia="標楷體" w:hAnsi="標楷體"/>
          <w:sz w:val="28"/>
          <w:szCs w:val="28"/>
        </w:rPr>
      </w:pPr>
      <w:r>
        <w:rPr>
          <w:rFonts w:ascii="標楷體" w:eastAsia="標楷體" w:hAnsi="標楷體"/>
          <w:sz w:val="28"/>
          <w:szCs w:val="28"/>
        </w:rPr>
        <w:t>二、外運土石體積（</w:t>
      </w:r>
      <w:proofErr w:type="gramStart"/>
      <w:r>
        <w:rPr>
          <w:rFonts w:ascii="標楷體" w:eastAsia="標楷體" w:hAnsi="標楷體"/>
          <w:sz w:val="28"/>
          <w:szCs w:val="28"/>
        </w:rPr>
        <w:t>鬆</w:t>
      </w:r>
      <w:proofErr w:type="gramEnd"/>
      <w:r>
        <w:rPr>
          <w:rFonts w:ascii="標楷體" w:eastAsia="標楷體" w:hAnsi="標楷體"/>
          <w:sz w:val="28"/>
          <w:szCs w:val="28"/>
        </w:rPr>
        <w:t>方）達一萬立方公尺者。</w:t>
      </w:r>
    </w:p>
    <w:p w14:paraId="3E2B68B9" w14:textId="77777777" w:rsidR="001D1829" w:rsidRDefault="000D3CEB">
      <w:pPr>
        <w:pStyle w:val="Textbody"/>
        <w:spacing w:line="480" w:lineRule="exact"/>
        <w:ind w:left="1148" w:hanging="1148"/>
        <w:jc w:val="both"/>
      </w:pPr>
      <w:r>
        <w:rPr>
          <w:rFonts w:ascii="標楷體" w:eastAsia="標楷體" w:hAnsi="標楷體"/>
          <w:sz w:val="28"/>
          <w:szCs w:val="28"/>
        </w:rPr>
        <w:lastRenderedPageBreak/>
        <w:t xml:space="preserve">第十九條　　</w:t>
      </w:r>
      <w:r>
        <w:rPr>
          <w:rFonts w:ascii="標楷體" w:eastAsia="標楷體" w:hAnsi="標楷體" w:cs="Tahoma"/>
          <w:kern w:val="3"/>
          <w:sz w:val="28"/>
          <w:szCs w:val="28"/>
        </w:rPr>
        <w:t>營建業主未能依本辦法規定設置或</w:t>
      </w:r>
      <w:proofErr w:type="gramStart"/>
      <w:r>
        <w:rPr>
          <w:rFonts w:ascii="標楷體" w:eastAsia="標楷體" w:hAnsi="標楷體" w:cs="Tahoma"/>
          <w:kern w:val="3"/>
          <w:sz w:val="28"/>
          <w:szCs w:val="28"/>
        </w:rPr>
        <w:t>採</w:t>
      </w:r>
      <w:proofErr w:type="gramEnd"/>
      <w:r>
        <w:rPr>
          <w:rFonts w:ascii="標楷體" w:eastAsia="標楷體" w:hAnsi="標楷體" w:cs="Tahoma"/>
          <w:kern w:val="3"/>
          <w:sz w:val="28"/>
          <w:szCs w:val="28"/>
        </w:rPr>
        <w:t>行空氣污染防制設施、監測設施者，得提出同等防制效率或功能之替代方法，報請直轄市、縣（市）主管機關同意後為之。</w:t>
      </w:r>
    </w:p>
    <w:p w14:paraId="225D4458" w14:textId="77777777" w:rsidR="001D1829" w:rsidRDefault="000D3CEB">
      <w:pPr>
        <w:pStyle w:val="Textbody"/>
        <w:spacing w:line="480" w:lineRule="exact"/>
      </w:pPr>
      <w:r>
        <w:rPr>
          <w:rFonts w:ascii="標楷體" w:eastAsia="標楷體" w:hAnsi="標楷體" w:cs="Tahoma"/>
          <w:kern w:val="3"/>
          <w:sz w:val="28"/>
          <w:szCs w:val="28"/>
        </w:rPr>
        <w:t>第二十條　　本辦法自中華民國一百十一年十一月一日施行。</w:t>
      </w:r>
    </w:p>
    <w:sectPr w:rsidR="001D1829">
      <w:pgSz w:w="11906" w:h="16838"/>
      <w:pgMar w:top="1440" w:right="1800" w:bottom="1440" w:left="1800" w:header="720" w:footer="720" w:gutter="0"/>
      <w:cols w:space="720"/>
      <w:docGrid w:type="lines" w:linePitch="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20392" w14:textId="77777777" w:rsidR="000D3CEB" w:rsidRDefault="000D3CEB">
      <w:r>
        <w:separator/>
      </w:r>
    </w:p>
  </w:endnote>
  <w:endnote w:type="continuationSeparator" w:id="0">
    <w:p w14:paraId="5EDCDF04" w14:textId="77777777" w:rsidR="000D3CEB" w:rsidRDefault="000D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D7BA" w14:textId="77777777" w:rsidR="000D3CEB" w:rsidRDefault="000D3CEB">
      <w:r>
        <w:rPr>
          <w:color w:val="000000"/>
        </w:rPr>
        <w:separator/>
      </w:r>
    </w:p>
  </w:footnote>
  <w:footnote w:type="continuationSeparator" w:id="0">
    <w:p w14:paraId="115855B3" w14:textId="77777777" w:rsidR="000D3CEB" w:rsidRDefault="000D3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D1829"/>
    <w:rsid w:val="000D3CEB"/>
    <w:rsid w:val="001D1829"/>
    <w:rsid w:val="00EA52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2F75"/>
  <w15:docId w15:val="{0DCCA88E-AA9C-4A25-A6D5-EF05E8E4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pPr>
    <w:rPr>
      <w:rFonts w:cs="Tahoma"/>
    </w:rPr>
  </w:style>
  <w:style w:type="paragraph" w:customStyle="1" w:styleId="Textbody">
    <w:name w:val="Text body"/>
    <w:pPr>
      <w:suppressAutoHyphens/>
    </w:pPr>
    <w:rPr>
      <w:rFonts w:ascii="Times New Roman" w:eastAsia="Times New Roman" w:hAnsi="Times New Roman"/>
      <w:kern w:val="0"/>
      <w:szCs w:val="24"/>
    </w:rPr>
  </w:style>
  <w:style w:type="paragraph" w:customStyle="1" w:styleId="a3">
    <w:name w:val="條一"/>
    <w:basedOn w:val="Textbody"/>
    <w:pPr>
      <w:widowControl w:val="0"/>
      <w:spacing w:line="460" w:lineRule="exact"/>
      <w:ind w:left="850" w:hanging="225"/>
      <w:jc w:val="both"/>
    </w:pPr>
    <w:rPr>
      <w:rFonts w:eastAsia="標楷體"/>
      <w:spacing w:val="10"/>
      <w:kern w:val="3"/>
      <w:sz w:val="26"/>
    </w:rPr>
  </w:style>
  <w:style w:type="paragraph" w:styleId="a4">
    <w:name w:val="List Paragraph"/>
    <w:basedOn w:val="Standard"/>
    <w:pPr>
      <w:ind w:left="480"/>
    </w:p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character" w:customStyle="1" w:styleId="a7">
    <w:name w:val="頁首 字元"/>
    <w:basedOn w:val="a0"/>
    <w:rPr>
      <w:rFonts w:ascii="Times New Roman" w:eastAsia="新細明體" w:hAnsi="Times New Roman" w:cs="Times New Roman"/>
      <w:kern w:val="0"/>
      <w:sz w:val="20"/>
      <w:szCs w:val="20"/>
    </w:rPr>
  </w:style>
  <w:style w:type="character" w:customStyle="1" w:styleId="a8">
    <w:name w:val="頁尾 字元"/>
    <w:basedOn w:val="a0"/>
    <w:rPr>
      <w:rFonts w:ascii="Times New Roman"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hsuan504</dc:creator>
  <dc:description/>
  <cp:lastModifiedBy>邱銘峻</cp:lastModifiedBy>
  <cp:revision>2</cp:revision>
  <dcterms:created xsi:type="dcterms:W3CDTF">2021-10-26T05:35:00Z</dcterms:created>
  <dcterms:modified xsi:type="dcterms:W3CDTF">2021-10-26T05:35:00Z</dcterms:modified>
</cp:coreProperties>
</file>